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91" w:rsidRDefault="003D7D40">
      <w:pPr>
        <w:pStyle w:val="Heading1"/>
        <w:spacing w:before="0" w:after="0"/>
      </w:pPr>
      <w:bookmarkStart w:id="0" w:name="_Study_Tools"/>
      <w:r>
        <w:t>Changes from circa 1800 to 1820 to 1840</w:t>
      </w:r>
    </w:p>
    <w:tbl>
      <w:tblPr>
        <w:tblStyle w:val="TableGrid"/>
        <w:tblW w:w="10800" w:type="dxa"/>
        <w:tblInd w:w="0" w:type="dxa"/>
        <w:tblLook w:val="04A0" w:firstRow="1" w:lastRow="0" w:firstColumn="1" w:lastColumn="0" w:noHBand="0" w:noVBand="1"/>
      </w:tblPr>
      <w:tblGrid>
        <w:gridCol w:w="1391"/>
        <w:gridCol w:w="2299"/>
        <w:gridCol w:w="2167"/>
        <w:gridCol w:w="2573"/>
        <w:gridCol w:w="2370"/>
      </w:tblGrid>
      <w:tr w:rsidR="00A94591">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pPr>
              <w:rPr>
                <w:b/>
              </w:rPr>
            </w:pPr>
            <w:r>
              <w:rPr>
                <w:b/>
              </w:rPr>
              <w:t>Issue</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pPr>
              <w:rPr>
                <w:b/>
              </w:rPr>
            </w:pPr>
            <w:r>
              <w:rPr>
                <w:b/>
              </w:rPr>
              <w:t>Pre-1800</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pPr>
              <w:rPr>
                <w:b/>
              </w:rPr>
            </w:pPr>
            <w:r>
              <w:rPr>
                <w:b/>
              </w:rPr>
              <w:t>Circa 1800</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pPr>
              <w:rPr>
                <w:b/>
              </w:rPr>
            </w:pPr>
            <w:r>
              <w:rPr>
                <w:b/>
              </w:rPr>
              <w:t>Circa 1820</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pPr>
              <w:rPr>
                <w:b/>
              </w:rPr>
            </w:pPr>
            <w:r>
              <w:rPr>
                <w:b/>
              </w:rPr>
              <w:t>Circa 1840</w:t>
            </w:r>
          </w:p>
        </w:tc>
      </w:tr>
      <w:tr w:rsidR="00A94591">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Revolution</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 xml:space="preserve">1776 - </w:t>
            </w:r>
            <w:proofErr w:type="spellStart"/>
            <w:r>
              <w:t>Shays’s</w:t>
            </w:r>
            <w:proofErr w:type="spellEnd"/>
            <w:r>
              <w:t xml:space="preserve"> - Whiskey</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 xml:space="preserve">Latin America </w:t>
            </w:r>
            <w:r>
              <w:rPr>
                <w:b/>
              </w:rPr>
              <w:t>but</w:t>
            </w:r>
            <w:r>
              <w:t xml:space="preserve"> Haiti</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Monroe Doctrine</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w:t>
            </w:r>
          </w:p>
        </w:tc>
      </w:tr>
      <w:tr w:rsidR="00A94591">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Protection of slavery and slave trade</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Constitution – but the Constitution can be amended</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End of slave Trade</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 xml:space="preserve">Northern population and representatives higher </w:t>
            </w:r>
          </w:p>
        </w:tc>
        <w:tc>
          <w:tcPr>
            <w:tcW w:w="2370" w:type="dxa"/>
            <w:tcBorders>
              <w:top w:val="single" w:sz="4" w:space="0" w:color="auto"/>
              <w:left w:val="single" w:sz="4" w:space="0" w:color="auto"/>
              <w:bottom w:val="single" w:sz="4" w:space="0" w:color="auto"/>
              <w:right w:val="single" w:sz="4" w:space="0" w:color="FF0000"/>
            </w:tcBorders>
            <w:tcMar>
              <w:top w:w="0" w:type="dxa"/>
              <w:left w:w="115" w:type="dxa"/>
              <w:bottom w:w="144" w:type="dxa"/>
              <w:right w:w="115" w:type="dxa"/>
            </w:tcMar>
          </w:tcPr>
          <w:p w:rsidR="00A94591" w:rsidRDefault="003D7D40">
            <w:r>
              <w:t>&gt;&gt;&gt;&gt;&gt;</w:t>
            </w:r>
          </w:p>
        </w:tc>
      </w:tr>
      <w:tr w:rsidR="00A94591">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End of slavery</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1776 +  black hopes;  N states abolishing (PA)</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Gabriel (VA)</w:t>
            </w:r>
            <w:r w:rsidR="00397C94">
              <w:rPr>
                <w:rStyle w:val="EndnoteReference"/>
              </w:rPr>
              <w:endnoteReference w:id="1"/>
            </w:r>
          </w:p>
          <w:p w:rsidR="00A94591" w:rsidRDefault="003D7D40">
            <w:r>
              <w:t xml:space="preserve"> </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sidP="00397C94">
            <w:r>
              <w:t>D. Vesey</w:t>
            </w:r>
            <w:r w:rsidR="00397C94">
              <w:t xml:space="preserve"> </w:t>
            </w:r>
            <w:r w:rsidR="00397C94">
              <w:rPr>
                <w:rStyle w:val="EndnoteReference"/>
              </w:rPr>
              <w:endnoteReference w:id="2"/>
            </w:r>
            <w:r>
              <w:t>(SC);  D. Walker</w:t>
            </w:r>
            <w:r w:rsidR="00397C94">
              <w:rPr>
                <w:rStyle w:val="EndnoteReference"/>
              </w:rPr>
              <w:endnoteReference w:id="3"/>
            </w:r>
            <w:r>
              <w:t xml:space="preserve"> (North); N. Turner</w:t>
            </w:r>
            <w:r w:rsidR="00397C94">
              <w:rPr>
                <w:rStyle w:val="EndnoteReference"/>
              </w:rPr>
              <w:endnoteReference w:id="4"/>
            </w:r>
            <w:r>
              <w:t xml:space="preserve"> (VA)</w:t>
            </w:r>
          </w:p>
        </w:tc>
        <w:tc>
          <w:tcPr>
            <w:tcW w:w="2370" w:type="dxa"/>
            <w:tcBorders>
              <w:top w:val="single" w:sz="4" w:space="0" w:color="auto"/>
              <w:left w:val="single" w:sz="4" w:space="0" w:color="auto"/>
              <w:bottom w:val="single" w:sz="4" w:space="0" w:color="auto"/>
              <w:right w:val="single" w:sz="4" w:space="0" w:color="FF0000"/>
            </w:tcBorders>
            <w:tcMar>
              <w:top w:w="0" w:type="dxa"/>
              <w:left w:w="115" w:type="dxa"/>
              <w:bottom w:w="144" w:type="dxa"/>
              <w:right w:w="115" w:type="dxa"/>
            </w:tcMar>
            <w:hideMark/>
          </w:tcPr>
          <w:p w:rsidR="00A94591" w:rsidRDefault="003D7D40">
            <w:r>
              <w:t>Discussed only in N&gt;&gt;&gt;</w:t>
            </w:r>
          </w:p>
        </w:tc>
      </w:tr>
      <w:tr w:rsidR="00A94591">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 and Land</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 xml:space="preserve">1783 to Miss. River; NW Ordinances </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LA. Purchase (Land = Nationalism)</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 xml:space="preserve">Missouri (Land + slavery = Sectionalism) </w:t>
            </w:r>
          </w:p>
        </w:tc>
        <w:tc>
          <w:tcPr>
            <w:tcW w:w="2370" w:type="dxa"/>
            <w:tcBorders>
              <w:top w:val="single" w:sz="4" w:space="0" w:color="auto"/>
              <w:left w:val="single" w:sz="4" w:space="0" w:color="auto"/>
              <w:bottom w:val="single" w:sz="4" w:space="0" w:color="auto"/>
              <w:right w:val="single" w:sz="4" w:space="0" w:color="FF0000"/>
            </w:tcBorders>
            <w:tcMar>
              <w:top w:w="0" w:type="dxa"/>
              <w:left w:w="115" w:type="dxa"/>
              <w:bottom w:w="144" w:type="dxa"/>
              <w:right w:w="115" w:type="dxa"/>
            </w:tcMar>
          </w:tcPr>
          <w:p w:rsidR="00A94591" w:rsidRDefault="003D7D40">
            <w:r>
              <w:t>&gt;&gt;&gt;&gt;&gt;</w:t>
            </w:r>
          </w:p>
          <w:p w:rsidR="00A94591" w:rsidRDefault="003D7D40">
            <w:r>
              <w:t>&gt;&gt;&gt; This ‘isms continue</w:t>
            </w:r>
          </w:p>
        </w:tc>
      </w:tr>
      <w:tr w:rsidR="00A94591">
        <w:tc>
          <w:tcPr>
            <w:tcW w:w="1391" w:type="dxa"/>
            <w:tcBorders>
              <w:top w:val="single" w:sz="4" w:space="0" w:color="auto"/>
              <w:left w:val="single" w:sz="4" w:space="0" w:color="auto"/>
              <w:bottom w:val="nil"/>
              <w:right w:val="single" w:sz="4" w:space="0" w:color="auto"/>
            </w:tcBorders>
            <w:tcMar>
              <w:top w:w="0" w:type="dxa"/>
              <w:left w:w="115" w:type="dxa"/>
              <w:bottom w:w="144" w:type="dxa"/>
              <w:right w:w="115" w:type="dxa"/>
            </w:tcMar>
            <w:hideMark/>
          </w:tcPr>
          <w:p w:rsidR="00A94591" w:rsidRDefault="003D7D40">
            <w:r>
              <w:t>“ “ “ and Voting</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3/5s Compromise</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Territories becoming states</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No more S. Senators and Reps. from LA. Purchase</w:t>
            </w:r>
          </w:p>
        </w:tc>
        <w:tc>
          <w:tcPr>
            <w:tcW w:w="2370" w:type="dxa"/>
            <w:tcBorders>
              <w:top w:val="single" w:sz="4" w:space="0" w:color="auto"/>
              <w:left w:val="single" w:sz="4" w:space="0" w:color="auto"/>
              <w:bottom w:val="single" w:sz="4" w:space="0" w:color="auto"/>
              <w:right w:val="single" w:sz="4" w:space="0" w:color="FF0000"/>
            </w:tcBorders>
            <w:tcMar>
              <w:top w:w="0" w:type="dxa"/>
              <w:left w:w="115" w:type="dxa"/>
              <w:bottom w:w="144" w:type="dxa"/>
              <w:right w:w="115" w:type="dxa"/>
            </w:tcMar>
            <w:hideMark/>
          </w:tcPr>
          <w:p w:rsidR="00A94591" w:rsidRDefault="003D7D40">
            <w:r>
              <w:t>FYI: the South looks for other ways to expand</w:t>
            </w:r>
          </w:p>
        </w:tc>
      </w:tr>
      <w:tr w:rsidR="00A94591">
        <w:tc>
          <w:tcPr>
            <w:tcW w:w="1391" w:type="dxa"/>
            <w:tcBorders>
              <w:top w:val="nil"/>
              <w:left w:val="single" w:sz="4" w:space="0" w:color="auto"/>
              <w:bottom w:val="single" w:sz="4" w:space="0" w:color="auto"/>
              <w:right w:val="single" w:sz="4" w:space="0" w:color="auto"/>
            </w:tcBorders>
            <w:tcMar>
              <w:top w:w="0" w:type="dxa"/>
              <w:left w:w="115" w:type="dxa"/>
              <w:bottom w:w="144" w:type="dxa"/>
              <w:right w:w="115" w:type="dxa"/>
            </w:tcMar>
          </w:tcPr>
          <w:p w:rsidR="00A94591" w:rsidRDefault="00A94591"/>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Colonies more than England</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West more than East</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Universal white male suffrage</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tcPr>
          <w:p w:rsidR="00A94591" w:rsidRDefault="003D7D40">
            <w:r>
              <w:t>&gt;&gt;&gt;&gt;&gt;</w:t>
            </w:r>
          </w:p>
        </w:tc>
      </w:tr>
      <w:tr w:rsidR="00A94591">
        <w:tc>
          <w:tcPr>
            <w:tcW w:w="1391" w:type="dxa"/>
            <w:tcBorders>
              <w:top w:val="nil"/>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Campaigning</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Federalist blunders and grassroots campaigning - Revolution of 1800</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Grassroots continues &amp; Era of Good Feelings</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Brief rise of economic nationalism John Quincy Adams, but “corrupt bargain”</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w:t>
            </w:r>
          </w:p>
        </w:tc>
      </w:tr>
      <w:tr w:rsidR="00A94591">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Selection</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Caucus</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Caucus</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Conventions and spoils system (constant campaign)</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 xml:space="preserve">&gt;&gt;&gt;&gt;&gt; </w:t>
            </w:r>
          </w:p>
        </w:tc>
      </w:tr>
      <w:tr w:rsidR="00A94591">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Military heroes</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 xml:space="preserve">1776-1783 </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Barbary &amp; War of 1812 (Hero: A. Jackson)</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Jackson—military hero and candidate</w:t>
            </w:r>
          </w:p>
        </w:tc>
        <w:tc>
          <w:tcPr>
            <w:tcW w:w="2370" w:type="dxa"/>
            <w:tcBorders>
              <w:top w:val="single" w:sz="4" w:space="0" w:color="auto"/>
              <w:left w:val="single" w:sz="4" w:space="0" w:color="auto"/>
              <w:bottom w:val="nil"/>
              <w:right w:val="single" w:sz="4" w:space="0" w:color="auto"/>
            </w:tcBorders>
            <w:tcMar>
              <w:top w:w="0" w:type="dxa"/>
              <w:left w:w="115" w:type="dxa"/>
              <w:bottom w:w="144" w:type="dxa"/>
              <w:right w:w="115" w:type="dxa"/>
            </w:tcMar>
            <w:hideMark/>
          </w:tcPr>
          <w:p w:rsidR="00A94591" w:rsidRDefault="003D7D40">
            <w:r>
              <w:t>&gt;&gt;&gt;&gt;&gt; (Why military heroes as candidates?)</w:t>
            </w:r>
          </w:p>
        </w:tc>
      </w:tr>
      <w:tr w:rsidR="00A94591">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Indians N</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 xml:space="preserve">West of Appalachians </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West of Miss. River (Hero: W.H. Harrison) + War of 1812</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tcPr>
          <w:p w:rsidR="00A94591" w:rsidRDefault="003D7D40">
            <w:r>
              <w:t>--</w:t>
            </w:r>
          </w:p>
          <w:p w:rsidR="00A94591" w:rsidRDefault="00A94591"/>
        </w:tc>
        <w:tc>
          <w:tcPr>
            <w:tcW w:w="2370" w:type="dxa"/>
            <w:tcBorders>
              <w:top w:val="nil"/>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Harrison as military candidate</w:t>
            </w:r>
          </w:p>
        </w:tc>
      </w:tr>
      <w:tr w:rsidR="00A94591">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Indians S</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        “       “</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Civilized Tribes</w:t>
            </w:r>
          </w:p>
        </w:tc>
        <w:tc>
          <w:tcPr>
            <w:tcW w:w="2573" w:type="dxa"/>
            <w:tcBorders>
              <w:top w:val="single" w:sz="4" w:space="0" w:color="auto"/>
              <w:left w:val="single" w:sz="4" w:space="0" w:color="auto"/>
              <w:bottom w:val="nil"/>
              <w:right w:val="single" w:sz="4" w:space="0" w:color="auto"/>
            </w:tcBorders>
            <w:shd w:val="clear" w:color="auto" w:fill="FABF8F" w:themeFill="accent6" w:themeFillTint="99"/>
            <w:tcMar>
              <w:top w:w="0" w:type="dxa"/>
              <w:left w:w="115" w:type="dxa"/>
              <w:bottom w:w="144" w:type="dxa"/>
              <w:right w:w="115" w:type="dxa"/>
            </w:tcMar>
            <w:hideMark/>
          </w:tcPr>
          <w:p w:rsidR="00A94591" w:rsidRDefault="003D7D40">
            <w:r>
              <w:t>1830s – West of Miss. River</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w:t>
            </w:r>
          </w:p>
        </w:tc>
      </w:tr>
      <w:tr w:rsidR="00A94591">
        <w:tc>
          <w:tcPr>
            <w:tcW w:w="1391" w:type="dxa"/>
            <w:tcBorders>
              <w:top w:val="single" w:sz="4" w:space="0" w:color="auto"/>
              <w:left w:val="single" w:sz="4" w:space="0" w:color="auto"/>
              <w:bottom w:val="nil"/>
              <w:right w:val="single" w:sz="4" w:space="0" w:color="auto"/>
            </w:tcBorders>
            <w:tcMar>
              <w:top w:w="0" w:type="dxa"/>
              <w:left w:w="115" w:type="dxa"/>
              <w:bottom w:w="144" w:type="dxa"/>
              <w:right w:w="115" w:type="dxa"/>
            </w:tcMar>
            <w:hideMark/>
          </w:tcPr>
          <w:p w:rsidR="00A94591" w:rsidRDefault="003D7D40">
            <w:r>
              <w:t>Supreme Court review</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Established but weak</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Marshall – judicial review</w:t>
            </w:r>
            <w:r>
              <w:rPr>
                <w:vertAlign w:val="superscript"/>
              </w:rPr>
              <w:t>#</w:t>
            </w:r>
          </w:p>
        </w:tc>
        <w:tc>
          <w:tcPr>
            <w:tcW w:w="2573" w:type="dxa"/>
            <w:tcBorders>
              <w:top w:val="nil"/>
              <w:left w:val="single" w:sz="4" w:space="0" w:color="auto"/>
              <w:bottom w:val="single" w:sz="4" w:space="0" w:color="auto"/>
              <w:right w:val="single" w:sz="4" w:space="0" w:color="auto"/>
            </w:tcBorders>
            <w:shd w:val="clear" w:color="auto" w:fill="FABF8F" w:themeFill="accent6" w:themeFillTint="99"/>
            <w:tcMar>
              <w:top w:w="0" w:type="dxa"/>
              <w:left w:w="115" w:type="dxa"/>
              <w:bottom w:w="144" w:type="dxa"/>
              <w:right w:w="115" w:type="dxa"/>
            </w:tcMar>
            <w:hideMark/>
          </w:tcPr>
          <w:p w:rsidR="00A94591" w:rsidRDefault="003D7D40">
            <w:r>
              <w:t>1830s – Congress and Jackson want them gone</w:t>
            </w:r>
            <w:r>
              <w:rPr>
                <w:vertAlign w:val="superscript"/>
              </w:rPr>
              <w:t>@</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w:t>
            </w:r>
          </w:p>
        </w:tc>
      </w:tr>
      <w:tr w:rsidR="00A94591">
        <w:tc>
          <w:tcPr>
            <w:tcW w:w="1391" w:type="dxa"/>
            <w:tcBorders>
              <w:top w:val="nil"/>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 “ power</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                  “             “</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Cases pro-national power, pro-corporations</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Central until Marshall’s death</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Corporation protections continue &gt;&gt;&gt;&gt;&gt;</w:t>
            </w:r>
          </w:p>
        </w:tc>
      </w:tr>
      <w:tr w:rsidR="00A94591">
        <w:tc>
          <w:tcPr>
            <w:tcW w:w="1391" w:type="dxa"/>
            <w:tcBorders>
              <w:top w:val="nil"/>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Hamilton’s national bank</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Chartered by New Republic for 20 years</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Renewed for 20 years</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Destroyed by Jackson and Congress (NE still favors)</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w:t>
            </w:r>
          </w:p>
        </w:tc>
      </w:tr>
      <w:tr w:rsidR="00A94591">
        <w:tc>
          <w:tcPr>
            <w:tcW w:w="1391" w:type="dxa"/>
            <w:tcBorders>
              <w:top w:val="nil"/>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Hamilton’s protective tariff</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Rejected initially</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Rejected, but put in place for textiles in 1816</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Threatened secession over by South Carolina &amp; Jackson and Congress stop it</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tcPr>
          <w:p w:rsidR="00A94591" w:rsidRDefault="003D7D40">
            <w:r>
              <w:t>&gt;&gt;&gt;&gt;&gt;</w:t>
            </w:r>
          </w:p>
        </w:tc>
      </w:tr>
      <w:tr w:rsidR="00A94591">
        <w:tc>
          <w:tcPr>
            <w:tcW w:w="1391" w:type="dxa"/>
            <w:tcBorders>
              <w:top w:val="nil"/>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Nullification or secession threat</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Nullification over Alien and Sedition Acts – freedom of speech/press</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Secession threat over War of 1812 (NE)</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Both over a tariff (Tariff of Abominations)</w:t>
            </w:r>
          </w:p>
        </w:tc>
        <w:tc>
          <w:tcPr>
            <w:tcW w:w="2370" w:type="dxa"/>
            <w:tcBorders>
              <w:top w:val="single" w:sz="4" w:space="0" w:color="auto"/>
              <w:left w:val="single" w:sz="4" w:space="0" w:color="auto"/>
              <w:bottom w:val="single" w:sz="4" w:space="0" w:color="auto"/>
              <w:right w:val="single" w:sz="4" w:space="0" w:color="FF0000"/>
            </w:tcBorders>
            <w:tcMar>
              <w:top w:w="0" w:type="dxa"/>
              <w:left w:w="115" w:type="dxa"/>
              <w:bottom w:w="144" w:type="dxa"/>
              <w:right w:w="115" w:type="dxa"/>
            </w:tcMar>
          </w:tcPr>
          <w:p w:rsidR="00A94591" w:rsidRDefault="003D7D40">
            <w:r>
              <w:t>&gt;&gt;&gt;&gt;&gt;</w:t>
            </w:r>
          </w:p>
        </w:tc>
      </w:tr>
      <w:tr w:rsidR="00A94591">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Economy – NE</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Old land – farmers as surplus labor</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Textile factories – Raw cotton from S</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 xml:space="preserve">Continues with more factories; farming </w:t>
            </w:r>
            <w:r>
              <w:rPr>
                <w:b/>
              </w:rPr>
              <w:t xml:space="preserve">for </w:t>
            </w:r>
            <w:r>
              <w:t>cities</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tcPr>
          <w:p w:rsidR="00A94591" w:rsidRDefault="003D7D40">
            <w:r>
              <w:t>&gt;&gt;&gt;&gt;&gt;</w:t>
            </w:r>
          </w:p>
        </w:tc>
      </w:tr>
      <w:tr w:rsidR="00A94591">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Economy - NW</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New lands (4 X productivity of old land)</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Sold to NE  and world</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Continues; use farming technology, not slavery</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tcPr>
          <w:p w:rsidR="00A94591" w:rsidRDefault="003D7D40">
            <w:r>
              <w:t>&gt;&gt;&gt;&gt;&gt;</w:t>
            </w:r>
          </w:p>
        </w:tc>
      </w:tr>
      <w:tr w:rsidR="00A94591">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Economy – SE (upper)</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 xml:space="preserve">Old land – slaves surplus labor </w:t>
            </w:r>
            <w:r>
              <w:rPr>
                <w:b/>
              </w:rPr>
              <w:t xml:space="preserve">but </w:t>
            </w:r>
            <w:r>
              <w:t>cotton gin</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 xml:space="preserve">Begins SE slaves sold to SW </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Continues SE slaves sold to SW and Texas</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tcPr>
          <w:p w:rsidR="00A94591" w:rsidRDefault="003D7D40">
            <w:r>
              <w:t>&gt;&gt;&gt;&gt;&gt;</w:t>
            </w:r>
          </w:p>
        </w:tc>
      </w:tr>
      <w:tr w:rsidR="00A94591">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Economy – SW (deep)</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New global market crop Cotton – Sold to N</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Cotton – Sold to N and Britain</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tcPr>
          <w:p w:rsidR="00A94591" w:rsidRDefault="003D7D40">
            <w:r>
              <w:t>&gt;&gt;&gt;&gt;&gt;</w:t>
            </w:r>
          </w:p>
        </w:tc>
      </w:tr>
      <w:tr w:rsidR="00A94591">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Transportation N</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Rivers and Ports</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Rivers and roads - turnpikes</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Canals NW-NE; New York City to the world</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NW – NE becoming 1</w:t>
            </w:r>
          </w:p>
        </w:tc>
      </w:tr>
      <w:tr w:rsidR="00A94591">
        <w:tc>
          <w:tcPr>
            <w:tcW w:w="1391"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Transportation S</w:t>
            </w:r>
          </w:p>
        </w:tc>
        <w:tc>
          <w:tcPr>
            <w:tcW w:w="2299"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Rivers</w:t>
            </w:r>
          </w:p>
        </w:tc>
        <w:tc>
          <w:tcPr>
            <w:tcW w:w="2167"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Rivers</w:t>
            </w:r>
          </w:p>
        </w:tc>
        <w:tc>
          <w:tcPr>
            <w:tcW w:w="2573"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Steamboats on Miss. River</w:t>
            </w:r>
          </w:p>
          <w:p w:rsidR="00A94591" w:rsidRDefault="003D7D40">
            <w:r>
              <w:t>Steamships to Liverpool</w:t>
            </w:r>
          </w:p>
        </w:tc>
        <w:tc>
          <w:tcPr>
            <w:tcW w:w="2370" w:type="dxa"/>
            <w:tcBorders>
              <w:top w:val="single" w:sz="4" w:space="0" w:color="auto"/>
              <w:left w:val="single" w:sz="4" w:space="0" w:color="auto"/>
              <w:bottom w:val="single" w:sz="4" w:space="0" w:color="auto"/>
              <w:right w:val="single" w:sz="4" w:space="0" w:color="auto"/>
            </w:tcBorders>
            <w:tcMar>
              <w:top w:w="0" w:type="dxa"/>
              <w:left w:w="115" w:type="dxa"/>
              <w:bottom w:w="144" w:type="dxa"/>
              <w:right w:w="115" w:type="dxa"/>
            </w:tcMar>
            <w:hideMark/>
          </w:tcPr>
          <w:p w:rsidR="00A94591" w:rsidRDefault="003D7D40">
            <w:r>
              <w:t>SW – SE becoming 1 (with Britain)</w:t>
            </w:r>
          </w:p>
        </w:tc>
      </w:tr>
    </w:tbl>
    <w:p w:rsidR="00A94591" w:rsidRDefault="003D7D40">
      <w:r>
        <w:t xml:space="preserve"># </w:t>
      </w:r>
      <w:proofErr w:type="gramStart"/>
      <w:r>
        <w:t>If</w:t>
      </w:r>
      <w:proofErr w:type="gramEnd"/>
      <w:r>
        <w:t xml:space="preserve"> you order someone NOT to do something they don’t want to do, you haven’t proved anything about your power.</w:t>
      </w:r>
      <w:r>
        <w:br/>
      </w:r>
      <w:r>
        <w:rPr>
          <w:vertAlign w:val="superscript"/>
        </w:rPr>
        <w:t xml:space="preserve">@ </w:t>
      </w:r>
      <w:r>
        <w:t>If you order someone to do something they don’t want to do, then we know your (lack of) power.</w:t>
      </w:r>
      <w:r>
        <w:br w:type="page"/>
      </w:r>
    </w:p>
    <w:p w:rsidR="00A94591" w:rsidRDefault="00A94591">
      <w:pPr>
        <w:pStyle w:val="Heading3"/>
      </w:pPr>
    </w:p>
    <w:tbl>
      <w:tblPr>
        <w:tblStyle w:val="TableGrid"/>
        <w:tblW w:w="0" w:type="auto"/>
        <w:tblInd w:w="0" w:type="dxa"/>
        <w:tblLook w:val="04A0" w:firstRow="1" w:lastRow="0" w:firstColumn="1" w:lastColumn="0" w:noHBand="0" w:noVBand="1"/>
      </w:tblPr>
      <w:tblGrid>
        <w:gridCol w:w="11016"/>
      </w:tblGrid>
      <w:tr w:rsidR="00A94591">
        <w:tc>
          <w:tcPr>
            <w:tcW w:w="11016" w:type="dxa"/>
            <w:tcBorders>
              <w:top w:val="single" w:sz="4" w:space="0" w:color="auto"/>
              <w:left w:val="single" w:sz="4" w:space="0" w:color="auto"/>
              <w:bottom w:val="single" w:sz="4" w:space="0" w:color="auto"/>
              <w:right w:val="single" w:sz="4" w:space="0" w:color="auto"/>
            </w:tcBorders>
          </w:tcPr>
          <w:p w:rsidR="00A94591" w:rsidRDefault="003D7D40">
            <w:pPr>
              <w:pStyle w:val="Heading3"/>
              <w:rPr>
                <w:b w:val="0"/>
                <w:sz w:val="20"/>
                <w:szCs w:val="20"/>
              </w:rPr>
            </w:pPr>
            <w:bookmarkStart w:id="1" w:name="_Who_Were_the"/>
            <w:bookmarkEnd w:id="1"/>
            <w:r>
              <w:t xml:space="preserve">Who </w:t>
            </w:r>
            <w:bookmarkStart w:id="2" w:name="chiefjustices"/>
            <w:bookmarkEnd w:id="2"/>
            <w:r>
              <w:t xml:space="preserve">Were the Chief Justices of the Supreme </w:t>
            </w:r>
            <w:proofErr w:type="gramStart"/>
            <w:r>
              <w:t>Court:</w:t>
            </w:r>
            <w:proofErr w:type="gramEnd"/>
            <w:r>
              <w:t xml:space="preserve"> </w:t>
            </w:r>
          </w:p>
          <w:p w:rsidR="00A94591" w:rsidRDefault="003D7D40">
            <w:pPr>
              <w:numPr>
                <w:ilvl w:val="0"/>
                <w:numId w:val="2"/>
              </w:numPr>
              <w:rPr>
                <w:rFonts w:cs="Arial"/>
                <w:sz w:val="20"/>
                <w:szCs w:val="20"/>
              </w:rPr>
            </w:pPr>
            <w:r>
              <w:rPr>
                <w:rFonts w:cs="Arial"/>
                <w:sz w:val="20"/>
                <w:szCs w:val="20"/>
              </w:rPr>
              <w:t>1800-1835 - Chief Justice John Marshall, the Chief Justice appointed by the last Federalist President, John Adams in 1800 during the lame duck period</w:t>
            </w:r>
            <w:r>
              <w:rPr>
                <w:rFonts w:cs="Arial"/>
                <w:sz w:val="20"/>
                <w:szCs w:val="20"/>
              </w:rPr>
              <w:br/>
            </w:r>
            <w:hyperlink r:id="rId9" w:history="1">
              <w:r>
                <w:rPr>
                  <w:rStyle w:val="Hyperlink"/>
                  <w:rFonts w:cs="Arial"/>
                  <w:sz w:val="20"/>
                  <w:szCs w:val="20"/>
                </w:rPr>
                <w:t>More power to the national government, to the Supreme Court, and to corporations and contracts</w:t>
              </w:r>
            </w:hyperlink>
          </w:p>
          <w:p w:rsidR="00A94591" w:rsidRDefault="003D7D40">
            <w:pPr>
              <w:numPr>
                <w:ilvl w:val="1"/>
                <w:numId w:val="2"/>
              </w:numPr>
              <w:tabs>
                <w:tab w:val="num" w:pos="360"/>
              </w:tabs>
              <w:rPr>
                <w:rFonts w:cs="Arial"/>
                <w:sz w:val="20"/>
                <w:szCs w:val="20"/>
              </w:rPr>
            </w:pPr>
            <w:r>
              <w:rPr>
                <w:rFonts w:cs="Arial"/>
                <w:sz w:val="20"/>
                <w:szCs w:val="20"/>
              </w:rPr>
              <w:t>Two cases</w:t>
            </w:r>
          </w:p>
          <w:p w:rsidR="00A94591" w:rsidRDefault="003D7D40">
            <w:pPr>
              <w:numPr>
                <w:ilvl w:val="1"/>
                <w:numId w:val="4"/>
              </w:numPr>
              <w:rPr>
                <w:rFonts w:cs="Arial"/>
                <w:sz w:val="20"/>
                <w:szCs w:val="20"/>
              </w:rPr>
            </w:pPr>
            <w:r>
              <w:rPr>
                <w:rFonts w:cs="Arial"/>
                <w:i/>
                <w:sz w:val="20"/>
                <w:szCs w:val="20"/>
              </w:rPr>
              <w:t>Marbury v.</w:t>
            </w:r>
            <w:r>
              <w:rPr>
                <w:rFonts w:cs="Arial"/>
                <w:sz w:val="20"/>
                <w:szCs w:val="20"/>
              </w:rPr>
              <w:t xml:space="preserve"> Madison established judicial review (in part because the executive branch was ordered to do what it planned to do anyway)</w:t>
            </w:r>
          </w:p>
          <w:p w:rsidR="00A94591" w:rsidRDefault="003D7D40">
            <w:pPr>
              <w:numPr>
                <w:ilvl w:val="1"/>
                <w:numId w:val="4"/>
              </w:numPr>
              <w:rPr>
                <w:sz w:val="20"/>
                <w:szCs w:val="20"/>
              </w:rPr>
            </w:pPr>
            <w:r>
              <w:rPr>
                <w:rFonts w:cs="Arial"/>
                <w:sz w:val="20"/>
                <w:szCs w:val="20"/>
              </w:rPr>
              <w:t xml:space="preserve">How review by the court was handled by the executive regarding the Cherokee:  “Two Supreme Court decisions in favor of the Cherokees, in 1830 and 1832, </w:t>
            </w:r>
            <w:r>
              <w:rPr>
                <w:rFonts w:cs="Arial"/>
                <w:i/>
                <w:sz w:val="20"/>
                <w:szCs w:val="20"/>
              </w:rPr>
              <w:t>Cherokee Nation v. Georgia</w:t>
            </w:r>
            <w:r>
              <w:rPr>
                <w:rFonts w:cs="Arial"/>
                <w:sz w:val="20"/>
                <w:szCs w:val="20"/>
              </w:rPr>
              <w:t xml:space="preserve"> and </w:t>
            </w:r>
            <w:r>
              <w:rPr>
                <w:rFonts w:cs="Arial"/>
                <w:i/>
                <w:sz w:val="20"/>
                <w:szCs w:val="20"/>
              </w:rPr>
              <w:t>Worcester v. Georgia</w:t>
            </w:r>
            <w:r>
              <w:rPr>
                <w:rFonts w:cs="Arial"/>
                <w:sz w:val="20"/>
                <w:szCs w:val="20"/>
              </w:rPr>
              <w:t>, proved to be without effect, since they depended on the federal government to implement them and Jackson had no intention of doing anything of the sort.”</w:t>
            </w:r>
          </w:p>
          <w:p w:rsidR="00A94591" w:rsidRDefault="00A94591"/>
          <w:p w:rsidR="00A94591" w:rsidRDefault="003D7D40">
            <w:pPr>
              <w:numPr>
                <w:ilvl w:val="0"/>
                <w:numId w:val="2"/>
              </w:numPr>
              <w:tabs>
                <w:tab w:val="num" w:pos="720"/>
              </w:tabs>
            </w:pPr>
            <w:r>
              <w:rPr>
                <w:rFonts w:cs="Arial"/>
                <w:sz w:val="20"/>
                <w:szCs w:val="20"/>
              </w:rPr>
              <w:t>1835-1864 - Chief Justice Roger Taney, the jurist with a different view from Marshall who was appointed by Andrew Jackson at Marshall’s death.</w:t>
            </w:r>
          </w:p>
        </w:tc>
      </w:tr>
    </w:tbl>
    <w:p w:rsidR="00A94591" w:rsidRDefault="00A94591"/>
    <w:tbl>
      <w:tblPr>
        <w:tblStyle w:val="TableGrid"/>
        <w:tblW w:w="0" w:type="auto"/>
        <w:tblInd w:w="0" w:type="dxa"/>
        <w:tblLook w:val="04A0" w:firstRow="1" w:lastRow="0" w:firstColumn="1" w:lastColumn="0" w:noHBand="0" w:noVBand="1"/>
      </w:tblPr>
      <w:tblGrid>
        <w:gridCol w:w="11016"/>
      </w:tblGrid>
      <w:tr w:rsidR="00A94591">
        <w:tc>
          <w:tcPr>
            <w:tcW w:w="11016" w:type="dxa"/>
            <w:tcBorders>
              <w:top w:val="single" w:sz="4" w:space="0" w:color="auto"/>
              <w:left w:val="single" w:sz="4" w:space="0" w:color="auto"/>
              <w:bottom w:val="single" w:sz="4" w:space="0" w:color="auto"/>
              <w:right w:val="single" w:sz="4" w:space="0" w:color="auto"/>
            </w:tcBorders>
          </w:tcPr>
          <w:p w:rsidR="00A94591" w:rsidRDefault="003D7D40">
            <w:pPr>
              <w:pStyle w:val="Heading3"/>
            </w:pPr>
            <w:r>
              <w:t>What Are the Shifts in Who Votes (Suffrage), How Candidates Are Chosen, and How Campaigning Works</w:t>
            </w:r>
          </w:p>
          <w:p w:rsidR="00A94591" w:rsidRDefault="003D7D40">
            <w:pPr>
              <w:rPr>
                <w:rFonts w:cs="Arial"/>
                <w:szCs w:val="18"/>
              </w:rPr>
            </w:pPr>
            <w:r>
              <w:rPr>
                <w:rFonts w:cs="Arial"/>
                <w:sz w:val="20"/>
                <w:szCs w:val="20"/>
              </w:rPr>
              <w:t>Y</w:t>
            </w:r>
            <w:r>
              <w:rPr>
                <w:rFonts w:cs="Arial"/>
                <w:szCs w:val="18"/>
              </w:rPr>
              <w:t>our textbook covers several shifts in suffrage (voting) and in politics:</w:t>
            </w:r>
          </w:p>
          <w:p w:rsidR="00A94591" w:rsidRDefault="003D7D40">
            <w:pPr>
              <w:numPr>
                <w:ilvl w:val="0"/>
                <w:numId w:val="6"/>
              </w:numPr>
              <w:rPr>
                <w:rFonts w:cs="Arial"/>
                <w:szCs w:val="18"/>
              </w:rPr>
            </w:pPr>
            <w:r>
              <w:rPr>
                <w:rFonts w:cs="Arial"/>
                <w:szCs w:val="18"/>
              </w:rPr>
              <w:t xml:space="preserve">The evolution from property requirements to vote to white universal manhood suffrage about 1828. </w:t>
            </w:r>
          </w:p>
          <w:p w:rsidR="00A94591" w:rsidRDefault="003D7D40">
            <w:pPr>
              <w:numPr>
                <w:ilvl w:val="0"/>
                <w:numId w:val="6"/>
              </w:numPr>
              <w:rPr>
                <w:rFonts w:cs="Arial"/>
                <w:szCs w:val="18"/>
              </w:rPr>
            </w:pPr>
            <w:r>
              <w:rPr>
                <w:rFonts w:cs="Arial"/>
                <w:szCs w:val="18"/>
              </w:rPr>
              <w:t>The shift in how candidates were chosen:</w:t>
            </w:r>
          </w:p>
          <w:p w:rsidR="00A94591" w:rsidRDefault="003D7D40">
            <w:pPr>
              <w:numPr>
                <w:ilvl w:val="1"/>
                <w:numId w:val="8"/>
              </w:numPr>
              <w:rPr>
                <w:rFonts w:cs="Arial"/>
                <w:szCs w:val="18"/>
              </w:rPr>
            </w:pPr>
            <w:r>
              <w:rPr>
                <w:rFonts w:cs="Arial"/>
                <w:szCs w:val="18"/>
              </w:rPr>
              <w:t>From about 1800 to the 1820s, candidates were chosen by a caucus (a talk within a group) of political party members who had been elected to office (as in member of the House of Representatives or a Senator). At that time, Being Secretary of State was considered necessary preparation to run for President because of its responsibilities for foreign policy.</w:t>
            </w:r>
          </w:p>
          <w:p w:rsidR="00A94591" w:rsidRDefault="003D7D40">
            <w:pPr>
              <w:numPr>
                <w:ilvl w:val="1"/>
                <w:numId w:val="8"/>
              </w:numPr>
              <w:rPr>
                <w:rFonts w:cs="Arial"/>
                <w:szCs w:val="18"/>
              </w:rPr>
            </w:pPr>
            <w:r>
              <w:rPr>
                <w:rFonts w:cs="Arial"/>
                <w:szCs w:val="18"/>
              </w:rPr>
              <w:t>The Jacksonian period brought a rejection of what they called “King Caucus” (with King being a dirty word because of its association with King George III). The political party convention replaced it—at that time a very volatile meeting of delegates who choose the candidate for President.</w:t>
            </w:r>
          </w:p>
          <w:p w:rsidR="00A94591" w:rsidRDefault="003D7D40">
            <w:pPr>
              <w:numPr>
                <w:ilvl w:val="0"/>
                <w:numId w:val="6"/>
              </w:numPr>
              <w:rPr>
                <w:rFonts w:cs="Arial"/>
                <w:szCs w:val="18"/>
              </w:rPr>
            </w:pPr>
            <w:r>
              <w:rPr>
                <w:rFonts w:cs="Arial"/>
                <w:szCs w:val="18"/>
              </w:rPr>
              <w:t>The Jacksonian era use of the “spoils system” meant that federal workers chosen by their political party did campaigning for their party as part of their jobs on the federal payroll.</w:t>
            </w:r>
          </w:p>
          <w:p w:rsidR="00A94591" w:rsidRDefault="00A94591">
            <w:pPr>
              <w:rPr>
                <w:rFonts w:cs="Arial"/>
                <w:szCs w:val="18"/>
              </w:rPr>
            </w:pPr>
          </w:p>
          <w:p w:rsidR="00A94591" w:rsidRDefault="003D7D40">
            <w:pPr>
              <w:rPr>
                <w:rFonts w:cs="Arial"/>
                <w:szCs w:val="18"/>
              </w:rPr>
            </w:pPr>
            <w:r>
              <w:rPr>
                <w:rFonts w:cs="Arial"/>
                <w:szCs w:val="18"/>
              </w:rPr>
              <w:t>Other things are going on as well to alter voting that your book does not cover. Examples:</w:t>
            </w:r>
          </w:p>
          <w:p w:rsidR="00A94591" w:rsidRDefault="003D7D40">
            <w:pPr>
              <w:numPr>
                <w:ilvl w:val="0"/>
                <w:numId w:val="10"/>
              </w:numPr>
              <w:rPr>
                <w:rFonts w:cs="Arial"/>
                <w:szCs w:val="18"/>
              </w:rPr>
            </w:pPr>
            <w:r>
              <w:rPr>
                <w:rFonts w:cs="Arial"/>
                <w:szCs w:val="18"/>
              </w:rPr>
              <w:t xml:space="preserve">States determine who votes. The </w:t>
            </w:r>
            <w:r>
              <w:rPr>
                <w:rFonts w:cs="Arial"/>
                <w:b/>
                <w:szCs w:val="18"/>
              </w:rPr>
              <w:t>NEW</w:t>
            </w:r>
            <w:r>
              <w:rPr>
                <w:rFonts w:cs="Arial"/>
                <w:szCs w:val="18"/>
              </w:rPr>
              <w:t xml:space="preserve"> </w:t>
            </w:r>
            <w:r>
              <w:rPr>
                <w:rFonts w:cs="Arial"/>
                <w:b/>
                <w:szCs w:val="18"/>
              </w:rPr>
              <w:t>western</w:t>
            </w:r>
            <w:r>
              <w:rPr>
                <w:rFonts w:cs="Arial"/>
                <w:szCs w:val="18"/>
              </w:rPr>
              <w:t xml:space="preserve"> states offered:</w:t>
            </w:r>
          </w:p>
          <w:p w:rsidR="00A94591" w:rsidRDefault="003D7D40">
            <w:pPr>
              <w:numPr>
                <w:ilvl w:val="1"/>
                <w:numId w:val="8"/>
              </w:numPr>
              <w:rPr>
                <w:rFonts w:cs="Arial"/>
                <w:szCs w:val="18"/>
              </w:rPr>
            </w:pPr>
            <w:r>
              <w:rPr>
                <w:rFonts w:cs="Arial"/>
                <w:szCs w:val="18"/>
              </w:rPr>
              <w:t>Not only more opportunities for men to get land (with property being traditionally a voter requirement)</w:t>
            </w:r>
          </w:p>
          <w:p w:rsidR="00A94591" w:rsidRDefault="003D7D40">
            <w:pPr>
              <w:numPr>
                <w:ilvl w:val="1"/>
                <w:numId w:val="8"/>
              </w:numPr>
              <w:rPr>
                <w:rFonts w:cs="Arial"/>
                <w:szCs w:val="18"/>
              </w:rPr>
            </w:pPr>
            <w:r>
              <w:rPr>
                <w:rFonts w:cs="Arial"/>
                <w:szCs w:val="18"/>
              </w:rPr>
              <w:t xml:space="preserve">But also more liberal voting rules in hopes of getting settlers. </w:t>
            </w:r>
          </w:p>
          <w:p w:rsidR="00A94591" w:rsidRDefault="003D7D40">
            <w:pPr>
              <w:numPr>
                <w:ilvl w:val="0"/>
                <w:numId w:val="10"/>
              </w:numPr>
              <w:rPr>
                <w:rFonts w:cs="Arial"/>
                <w:szCs w:val="18"/>
              </w:rPr>
            </w:pPr>
            <w:r>
              <w:rPr>
                <w:rFonts w:cs="Arial"/>
                <w:szCs w:val="18"/>
              </w:rPr>
              <w:t xml:space="preserve">By the Jacksonian era, citizens in the </w:t>
            </w:r>
            <w:r>
              <w:rPr>
                <w:rFonts w:cs="Arial"/>
                <w:b/>
                <w:szCs w:val="18"/>
              </w:rPr>
              <w:t>eastern</w:t>
            </w:r>
            <w:r>
              <w:rPr>
                <w:rFonts w:cs="Arial"/>
                <w:szCs w:val="18"/>
              </w:rPr>
              <w:t xml:space="preserve"> states began to demand the same voting opportunities as those in the west.</w:t>
            </w:r>
          </w:p>
          <w:p w:rsidR="00A94591" w:rsidRDefault="003D7D40">
            <w:pPr>
              <w:numPr>
                <w:ilvl w:val="0"/>
                <w:numId w:val="10"/>
              </w:numPr>
              <w:rPr>
                <w:rFonts w:cs="Arial"/>
                <w:szCs w:val="18"/>
              </w:rPr>
            </w:pPr>
            <w:r>
              <w:rPr>
                <w:rFonts w:cs="Arial"/>
                <w:szCs w:val="18"/>
              </w:rPr>
              <w:t xml:space="preserve">State laws change, and voters (not the state legislatures) are deciding the </w:t>
            </w:r>
            <w:proofErr w:type="gramStart"/>
            <w:r>
              <w:rPr>
                <w:rFonts w:cs="Arial"/>
                <w:szCs w:val="18"/>
              </w:rPr>
              <w:t>electoral college</w:t>
            </w:r>
            <w:proofErr w:type="gramEnd"/>
            <w:r>
              <w:rPr>
                <w:rFonts w:cs="Arial"/>
                <w:szCs w:val="18"/>
              </w:rPr>
              <w:t xml:space="preserve"> results. </w:t>
            </w:r>
          </w:p>
        </w:tc>
      </w:tr>
    </w:tbl>
    <w:p w:rsidR="00A94591" w:rsidRDefault="00A94591"/>
    <w:p w:rsidR="00A94591" w:rsidRDefault="00A94591">
      <w:pPr>
        <w:ind w:left="720"/>
        <w:rPr>
          <w:rFonts w:cs="Arial"/>
          <w:sz w:val="20"/>
          <w:szCs w:val="20"/>
        </w:rPr>
      </w:pPr>
    </w:p>
    <w:p w:rsidR="00A94591" w:rsidRDefault="00A94591"/>
    <w:p w:rsidR="00A94591" w:rsidRDefault="00A94591"/>
    <w:p w:rsidR="00A94591" w:rsidRDefault="00A94591"/>
    <w:p w:rsidR="00A94591" w:rsidRDefault="00A94591"/>
    <w:p w:rsidR="00A94591" w:rsidRDefault="00A94591">
      <w:bookmarkStart w:id="3" w:name="_The_Shifts_in"/>
      <w:bookmarkEnd w:id="3"/>
    </w:p>
    <w:tbl>
      <w:tblPr>
        <w:tblW w:w="0" w:type="auto"/>
        <w:tblInd w:w="180" w:type="dxa"/>
        <w:tblLook w:val="04A0" w:firstRow="1" w:lastRow="0" w:firstColumn="1" w:lastColumn="0" w:noHBand="0" w:noVBand="1"/>
      </w:tblPr>
      <w:tblGrid>
        <w:gridCol w:w="8694"/>
      </w:tblGrid>
      <w:tr w:rsidR="00A94591">
        <w:tc>
          <w:tcPr>
            <w:tcW w:w="8694" w:type="dxa"/>
            <w:hideMark/>
          </w:tcPr>
          <w:bookmarkEnd w:id="0"/>
          <w:p w:rsidR="00A94591" w:rsidRDefault="003D7D40">
            <w:pPr>
              <w:jc w:val="center"/>
            </w:pPr>
            <w:r>
              <w:rPr>
                <w:sz w:val="16"/>
              </w:rPr>
              <w:t>Copyri</w:t>
            </w:r>
            <w:r w:rsidR="00397C94">
              <w:rPr>
                <w:sz w:val="16"/>
              </w:rPr>
              <w:t xml:space="preserve">ght C. J. Bibus, </w:t>
            </w:r>
            <w:proofErr w:type="spellStart"/>
            <w:r w:rsidR="00397C94">
              <w:rPr>
                <w:sz w:val="16"/>
              </w:rPr>
              <w:t>Ed.D</w:t>
            </w:r>
            <w:proofErr w:type="spellEnd"/>
            <w:r w:rsidR="00397C94">
              <w:rPr>
                <w:sz w:val="16"/>
              </w:rPr>
              <w:t>. 2003-2015</w:t>
            </w:r>
          </w:p>
        </w:tc>
      </w:tr>
    </w:tbl>
    <w:p w:rsidR="00A94591" w:rsidRDefault="00A94591"/>
    <w:tbl>
      <w:tblPr>
        <w:tblW w:w="0" w:type="auto"/>
        <w:tblLook w:val="04A0" w:firstRow="1" w:lastRow="0" w:firstColumn="1" w:lastColumn="0" w:noHBand="0" w:noVBand="1"/>
      </w:tblPr>
      <w:tblGrid>
        <w:gridCol w:w="2322"/>
        <w:gridCol w:w="6534"/>
      </w:tblGrid>
      <w:tr w:rsidR="00A94591">
        <w:tc>
          <w:tcPr>
            <w:tcW w:w="2322" w:type="dxa"/>
            <w:hideMark/>
          </w:tcPr>
          <w:p w:rsidR="00A94591" w:rsidRDefault="003D7D40">
            <w:pPr>
              <w:rPr>
                <w:b/>
                <w:bCs/>
              </w:rPr>
            </w:pPr>
            <w:r>
              <w:rPr>
                <w:b/>
                <w:bCs/>
              </w:rPr>
              <w:t>WCJC Department:</w:t>
            </w:r>
          </w:p>
        </w:tc>
        <w:tc>
          <w:tcPr>
            <w:tcW w:w="6534" w:type="dxa"/>
            <w:hideMark/>
          </w:tcPr>
          <w:p w:rsidR="00A94591" w:rsidRDefault="003D7D40">
            <w:r>
              <w:t>History – Dr. Bibus</w:t>
            </w:r>
          </w:p>
        </w:tc>
      </w:tr>
      <w:tr w:rsidR="00A94591">
        <w:tc>
          <w:tcPr>
            <w:tcW w:w="2322" w:type="dxa"/>
            <w:hideMark/>
          </w:tcPr>
          <w:p w:rsidR="00A94591" w:rsidRDefault="003D7D40">
            <w:pPr>
              <w:rPr>
                <w:b/>
                <w:bCs/>
              </w:rPr>
            </w:pPr>
            <w:r>
              <w:rPr>
                <w:b/>
                <w:bCs/>
              </w:rPr>
              <w:t>Contact Information:</w:t>
            </w:r>
          </w:p>
        </w:tc>
        <w:tc>
          <w:tcPr>
            <w:tcW w:w="6534" w:type="dxa"/>
            <w:hideMark/>
          </w:tcPr>
          <w:p w:rsidR="00A94591" w:rsidRDefault="003D7D40">
            <w:r>
              <w:t xml:space="preserve">281.239.1577 or </w:t>
            </w:r>
            <w:hyperlink r:id="rId10" w:history="1">
              <w:r>
                <w:rPr>
                  <w:rStyle w:val="Hyperlink"/>
                </w:rPr>
                <w:t>bibusc@wcjc.edu</w:t>
              </w:r>
            </w:hyperlink>
            <w:r>
              <w:t xml:space="preserve"> </w:t>
            </w:r>
          </w:p>
        </w:tc>
      </w:tr>
      <w:tr w:rsidR="00A94591">
        <w:tc>
          <w:tcPr>
            <w:tcW w:w="2322" w:type="dxa"/>
            <w:hideMark/>
          </w:tcPr>
          <w:p w:rsidR="00A94591" w:rsidRDefault="003D7D40">
            <w:pPr>
              <w:rPr>
                <w:b/>
                <w:bCs/>
              </w:rPr>
            </w:pPr>
            <w:r>
              <w:rPr>
                <w:b/>
                <w:bCs/>
              </w:rPr>
              <w:t>Last Updated:</w:t>
            </w:r>
          </w:p>
        </w:tc>
        <w:tc>
          <w:tcPr>
            <w:tcW w:w="6534" w:type="dxa"/>
            <w:hideMark/>
          </w:tcPr>
          <w:p w:rsidR="00A94591" w:rsidRDefault="00397C94">
            <w:r>
              <w:t>2015</w:t>
            </w:r>
            <w:bookmarkStart w:id="4" w:name="_GoBack"/>
            <w:bookmarkEnd w:id="4"/>
          </w:p>
        </w:tc>
      </w:tr>
      <w:tr w:rsidR="00A94591">
        <w:tc>
          <w:tcPr>
            <w:tcW w:w="2322" w:type="dxa"/>
            <w:hideMark/>
          </w:tcPr>
          <w:p w:rsidR="00A94591" w:rsidRDefault="003D7D40">
            <w:pPr>
              <w:rPr>
                <w:b/>
                <w:bCs/>
              </w:rPr>
            </w:pPr>
            <w:r>
              <w:rPr>
                <w:b/>
                <w:bCs/>
              </w:rPr>
              <w:t>WCJC Home:</w:t>
            </w:r>
          </w:p>
        </w:tc>
        <w:tc>
          <w:tcPr>
            <w:tcW w:w="6534" w:type="dxa"/>
            <w:hideMark/>
          </w:tcPr>
          <w:p w:rsidR="00A94591" w:rsidRDefault="00687731">
            <w:hyperlink r:id="rId11" w:history="1">
              <w:r w:rsidR="003D7D40">
                <w:rPr>
                  <w:rStyle w:val="Hyperlink"/>
                </w:rPr>
                <w:t>http://www.wcjc.edu/</w:t>
              </w:r>
            </w:hyperlink>
          </w:p>
        </w:tc>
      </w:tr>
    </w:tbl>
    <w:p w:rsidR="00A94591" w:rsidRDefault="00A94591"/>
    <w:p w:rsidR="003D7D40" w:rsidRDefault="003D7D40"/>
    <w:sectPr w:rsidR="003D7D40">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31" w:rsidRDefault="00687731">
      <w:r>
        <w:separator/>
      </w:r>
    </w:p>
  </w:endnote>
  <w:endnote w:type="continuationSeparator" w:id="0">
    <w:p w:rsidR="00687731" w:rsidRDefault="00687731">
      <w:r>
        <w:continuationSeparator/>
      </w:r>
    </w:p>
  </w:endnote>
  <w:endnote w:id="1">
    <w:p w:rsidR="00397C94" w:rsidRDefault="00397C94">
      <w:pPr>
        <w:pStyle w:val="EndnoteText"/>
      </w:pPr>
      <w:r>
        <w:rPr>
          <w:rStyle w:val="EndnoteReference"/>
        </w:rPr>
        <w:endnoteRef/>
      </w:r>
      <w:r>
        <w:t xml:space="preserve"> </w:t>
      </w:r>
      <w:r>
        <w:t>Covered in Chapter 11 on page 36</w:t>
      </w:r>
      <w:r>
        <w:t>8</w:t>
      </w:r>
    </w:p>
  </w:endnote>
  <w:endnote w:id="2">
    <w:p w:rsidR="00397C94" w:rsidRDefault="00397C94">
      <w:pPr>
        <w:pStyle w:val="EndnoteText"/>
      </w:pPr>
      <w:r>
        <w:rPr>
          <w:rStyle w:val="EndnoteReference"/>
        </w:rPr>
        <w:endnoteRef/>
      </w:r>
      <w:r>
        <w:t xml:space="preserve"> </w:t>
      </w:r>
      <w:r>
        <w:t>Covered in Chapter 11 on page 369</w:t>
      </w:r>
    </w:p>
  </w:endnote>
  <w:endnote w:id="3">
    <w:p w:rsidR="00397C94" w:rsidRDefault="00397C94">
      <w:pPr>
        <w:pStyle w:val="EndnoteText"/>
      </w:pPr>
      <w:r>
        <w:rPr>
          <w:rStyle w:val="EndnoteReference"/>
        </w:rPr>
        <w:endnoteRef/>
      </w:r>
      <w:r>
        <w:t xml:space="preserve"> </w:t>
      </w:r>
      <w:proofErr w:type="gramStart"/>
      <w:r>
        <w:t>Covered in Chapter 12 on page 400.</w:t>
      </w:r>
      <w:proofErr w:type="gramEnd"/>
    </w:p>
  </w:endnote>
  <w:endnote w:id="4">
    <w:p w:rsidR="00397C94" w:rsidRDefault="00397C94">
      <w:pPr>
        <w:pStyle w:val="EndnoteText"/>
      </w:pPr>
      <w:r>
        <w:rPr>
          <w:rStyle w:val="EndnoteReference"/>
        </w:rPr>
        <w:endnoteRef/>
      </w:r>
      <w:r>
        <w:t xml:space="preserve"> </w:t>
      </w:r>
      <w:r>
        <w:t>Covered in Chapter 11 on page 370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31" w:rsidRDefault="00687731">
      <w:r>
        <w:separator/>
      </w:r>
    </w:p>
  </w:footnote>
  <w:footnote w:type="continuationSeparator" w:id="0">
    <w:p w:rsidR="00687731" w:rsidRDefault="0068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11153"/>
    <w:multiLevelType w:val="hybridMultilevel"/>
    <w:tmpl w:val="368E339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D781D15"/>
    <w:multiLevelType w:val="hybridMultilevel"/>
    <w:tmpl w:val="D5B2B46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7FD249A"/>
    <w:multiLevelType w:val="hybridMultilevel"/>
    <w:tmpl w:val="A1AE32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9E61084"/>
    <w:multiLevelType w:val="hybridMultilevel"/>
    <w:tmpl w:val="AD1A3D3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nsid w:val="7962758E"/>
    <w:multiLevelType w:val="hybridMultilevel"/>
    <w:tmpl w:val="3460AEC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99D870E8">
      <w:start w:val="165"/>
      <w:numFmt w:val="bullet"/>
      <w:lvlText w:val="-"/>
      <w:lvlJc w:val="left"/>
      <w:pPr>
        <w:tabs>
          <w:tab w:val="num" w:pos="1800"/>
        </w:tabs>
        <w:ind w:left="1800" w:hanging="360"/>
      </w:pPr>
      <w:rPr>
        <w:rFonts w:ascii="Arial" w:hAnsi="Arial" w:cs="Times New Roman" w:hint="default"/>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footnoteLayoutLikeWW8/>
    <w:shapeLayoutLikeWW8/>
    <w:alignTablesRowByRow/>
    <w:forgetLastTabAlignment/>
    <w:layoutRawTableWidth/>
    <w:layoutTableRowsApart/>
    <w:doNotSnapToGridInCell/>
    <w:doNotWrapTextWithPunct/>
    <w:doNotUseEastAsianBreak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4B48EC"/>
    <w:rsid w:val="00264B60"/>
    <w:rsid w:val="00397C94"/>
    <w:rsid w:val="003D7D40"/>
    <w:rsid w:val="004B48EC"/>
    <w:rsid w:val="00687731"/>
    <w:rsid w:val="00A9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qFormat="1"/>
    <w:lsdException w:name="toc 2" w:uiPriority="39"/>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2">
    <w:name w:val="toc 2"/>
    <w:basedOn w:val="Normal"/>
    <w:next w:val="Normal"/>
    <w:autoRedefine/>
    <w:uiPriority w:val="39"/>
    <w:pPr>
      <w:ind w:left="180"/>
    </w:p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FootnoteReference">
    <w:name w:val="footnote reference"/>
    <w:basedOn w:val="DefaultParagraphFont"/>
    <w:rPr>
      <w:vertAlign w:val="superscript"/>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B60"/>
    <w:rPr>
      <w:rFonts w:ascii="Tahoma" w:hAnsi="Tahoma"/>
      <w:sz w:val="16"/>
      <w:szCs w:val="16"/>
    </w:rPr>
  </w:style>
  <w:style w:type="character" w:customStyle="1" w:styleId="BalloonTextChar">
    <w:name w:val="Balloon Text Char"/>
    <w:basedOn w:val="DefaultParagraphFont"/>
    <w:link w:val="BalloonText"/>
    <w:rsid w:val="00264B60"/>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qFormat="1"/>
    <w:lsdException w:name="toc 2" w:uiPriority="39"/>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2">
    <w:name w:val="toc 2"/>
    <w:basedOn w:val="Normal"/>
    <w:next w:val="Normal"/>
    <w:autoRedefine/>
    <w:uiPriority w:val="39"/>
    <w:pPr>
      <w:ind w:left="180"/>
    </w:p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FootnoteReference">
    <w:name w:val="footnote reference"/>
    <w:basedOn w:val="DefaultParagraphFont"/>
    <w:rPr>
      <w:vertAlign w:val="superscript"/>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B60"/>
    <w:rPr>
      <w:rFonts w:ascii="Tahoma" w:hAnsi="Tahoma"/>
      <w:sz w:val="16"/>
      <w:szCs w:val="16"/>
    </w:rPr>
  </w:style>
  <w:style w:type="character" w:customStyle="1" w:styleId="BalloonTextChar">
    <w:name w:val="Balloon Text Char"/>
    <w:basedOn w:val="DefaultParagraphFont"/>
    <w:link w:val="BalloonText"/>
    <w:rsid w:val="00264B60"/>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cjc.edu/" TargetMode="External"/><Relationship Id="rId5" Type="http://schemas.openxmlformats.org/officeDocument/2006/relationships/settings" Target="settings.xml"/><Relationship Id="rId10" Type="http://schemas.openxmlformats.org/officeDocument/2006/relationships/hyperlink" Target="mailto:bibusc@wcjc.edu" TargetMode="External"/><Relationship Id="rId4" Type="http://schemas.microsoft.com/office/2007/relationships/stylesWithEffects" Target="stylesWithEffects.xml"/><Relationship Id="rId9" Type="http://schemas.openxmlformats.org/officeDocument/2006/relationships/hyperlink" Target="file:///C:\Users\CJ%20Bibus\Documents\-%20Server%202013-2014\1800-1840andbeyond_Sum_Supreme_Marshall_Taney.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0E46-41B3-4E61-80AC-B02DCC03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cjb_classes</Template>
  <TotalTime>6</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Content for Unit 2</vt:lpstr>
    </vt:vector>
  </TitlesOfParts>
  <Company>Bibus Consulting</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for Unit 2</dc:title>
  <dc:creator>Connie "C.J." Bibus, Ed.D.</dc:creator>
  <cp:lastModifiedBy>CJ Bibus</cp:lastModifiedBy>
  <cp:revision>4</cp:revision>
  <cp:lastPrinted>2015-11-05T12:52:00Z</cp:lastPrinted>
  <dcterms:created xsi:type="dcterms:W3CDTF">2015-11-05T12:46:00Z</dcterms:created>
  <dcterms:modified xsi:type="dcterms:W3CDTF">2015-11-05T12:53:00Z</dcterms:modified>
</cp:coreProperties>
</file>