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44" w:rsidRDefault="002D6842" w:rsidP="00A36044">
      <w:pPr>
        <w:pStyle w:val="Heading2"/>
        <w:jc w:val="center"/>
        <w:rPr>
          <w:rFonts w:eastAsia="Calibri"/>
        </w:rPr>
      </w:pPr>
      <w:bookmarkStart w:id="0" w:name="_GoBack"/>
      <w:bookmarkEnd w:id="0"/>
      <w:r w:rsidRPr="002F6CA9">
        <w:rPr>
          <w:rFonts w:eastAsia="Calibri"/>
        </w:rPr>
        <w:t xml:space="preserve">Unit 1: </w:t>
      </w:r>
      <w:r w:rsidR="007B6ADE" w:rsidRPr="00963E29">
        <w:rPr>
          <w:rFonts w:cs="Arial"/>
          <w:szCs w:val="28"/>
        </w:rPr>
        <w:t>Creating a New America from 1860 to 1913</w:t>
      </w:r>
      <w:r w:rsidR="007B6ADE">
        <w:rPr>
          <w:rFonts w:eastAsia="Calibri"/>
        </w:rPr>
        <w:t xml:space="preserve"> </w:t>
      </w:r>
      <w:r w:rsidR="001D752C">
        <w:rPr>
          <w:rFonts w:eastAsia="Calibri"/>
        </w:rPr>
        <w:t>(Chapters 1</w:t>
      </w:r>
      <w:r w:rsidR="007B6ADE">
        <w:rPr>
          <w:rFonts w:eastAsia="Calibri"/>
        </w:rPr>
        <w:t>6-19</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 Title Tells You about This Unit</w:t>
      </w:r>
    </w:p>
    <w:p w:rsidR="007B6ADE" w:rsidRDefault="007B6ADE" w:rsidP="007B6ADE">
      <w:pPr>
        <w:rPr>
          <w:sz w:val="18"/>
          <w:szCs w:val="18"/>
        </w:rPr>
      </w:pPr>
      <w:r w:rsidRPr="007B6ADE">
        <w:rPr>
          <w:sz w:val="18"/>
          <w:szCs w:val="18"/>
        </w:rPr>
        <w:t xml:space="preserve">We begin </w:t>
      </w:r>
      <w:r>
        <w:rPr>
          <w:sz w:val="18"/>
          <w:szCs w:val="18"/>
        </w:rPr>
        <w:t>with these regions:</w:t>
      </w:r>
    </w:p>
    <w:p w:rsidR="007B6ADE" w:rsidRDefault="007B6ADE" w:rsidP="00CC7C9E">
      <w:pPr>
        <w:pStyle w:val="ListParagraph"/>
        <w:numPr>
          <w:ilvl w:val="0"/>
          <w:numId w:val="42"/>
        </w:numPr>
        <w:rPr>
          <w:sz w:val="18"/>
          <w:szCs w:val="18"/>
        </w:rPr>
      </w:pPr>
      <w:r w:rsidRPr="007B6ADE">
        <w:rPr>
          <w:sz w:val="18"/>
          <w:szCs w:val="18"/>
        </w:rPr>
        <w:t>The South, with its previously wealthy minority</w:t>
      </w:r>
      <w:r>
        <w:rPr>
          <w:sz w:val="18"/>
          <w:szCs w:val="18"/>
        </w:rPr>
        <w:t xml:space="preserve"> owning slaves and land</w:t>
      </w:r>
      <w:r w:rsidRPr="007B6ADE">
        <w:rPr>
          <w:sz w:val="18"/>
          <w:szCs w:val="18"/>
        </w:rPr>
        <w:t>, defeat</w:t>
      </w:r>
      <w:r>
        <w:rPr>
          <w:sz w:val="18"/>
          <w:szCs w:val="18"/>
        </w:rPr>
        <w:t xml:space="preserve">ed over a four-year period. After its defeat, the Union </w:t>
      </w:r>
      <w:r w:rsidRPr="007B6ADE">
        <w:rPr>
          <w:sz w:val="18"/>
          <w:szCs w:val="18"/>
        </w:rPr>
        <w:t>end</w:t>
      </w:r>
      <w:r>
        <w:rPr>
          <w:sz w:val="18"/>
          <w:szCs w:val="18"/>
        </w:rPr>
        <w:t>s</w:t>
      </w:r>
      <w:r w:rsidRPr="007B6ADE">
        <w:rPr>
          <w:sz w:val="18"/>
          <w:szCs w:val="18"/>
        </w:rPr>
        <w:t xml:space="preserve"> slavery as</w:t>
      </w:r>
      <w:r>
        <w:rPr>
          <w:sz w:val="18"/>
          <w:szCs w:val="18"/>
        </w:rPr>
        <w:t xml:space="preserve"> a </w:t>
      </w:r>
      <w:r w:rsidRPr="007B6ADE">
        <w:rPr>
          <w:sz w:val="18"/>
          <w:szCs w:val="18"/>
        </w:rPr>
        <w:t>legally protected institution</w:t>
      </w:r>
      <w:r>
        <w:rPr>
          <w:sz w:val="18"/>
          <w:szCs w:val="18"/>
        </w:rPr>
        <w:t xml:space="preserve"> and the South loses its wealth in slaves and </w:t>
      </w:r>
      <w:r w:rsidR="00D62004">
        <w:rPr>
          <w:sz w:val="18"/>
          <w:szCs w:val="18"/>
        </w:rPr>
        <w:t>large plantations without slave labor</w:t>
      </w:r>
      <w:r>
        <w:rPr>
          <w:sz w:val="18"/>
          <w:szCs w:val="18"/>
        </w:rPr>
        <w:t xml:space="preserve"> are not profitable.</w:t>
      </w:r>
    </w:p>
    <w:p w:rsidR="005E27FB" w:rsidRPr="007B6ADE" w:rsidRDefault="007B6ADE" w:rsidP="007B6ADE">
      <w:pPr>
        <w:pStyle w:val="ListParagraph"/>
        <w:numPr>
          <w:ilvl w:val="0"/>
          <w:numId w:val="42"/>
        </w:numPr>
        <w:rPr>
          <w:sz w:val="18"/>
          <w:szCs w:val="18"/>
        </w:rPr>
      </w:pPr>
      <w:r>
        <w:rPr>
          <w:sz w:val="18"/>
          <w:szCs w:val="18"/>
        </w:rPr>
        <w:t xml:space="preserve">The North, with its previously technological Northeast with its factories and Northwest with machinery used for agriculture, is made more technological by </w:t>
      </w:r>
      <w:r w:rsidRPr="007B6ADE">
        <w:rPr>
          <w:sz w:val="18"/>
          <w:szCs w:val="18"/>
        </w:rPr>
        <w:t xml:space="preserve">the war’s rapid </w:t>
      </w:r>
      <w:r>
        <w:rPr>
          <w:sz w:val="18"/>
          <w:szCs w:val="18"/>
        </w:rPr>
        <w:t xml:space="preserve">challenges. When the South seceded and no longer had votes in </w:t>
      </w:r>
      <w:r w:rsidRPr="007B6ADE">
        <w:rPr>
          <w:sz w:val="18"/>
          <w:szCs w:val="18"/>
        </w:rPr>
        <w:t>the House o</w:t>
      </w:r>
      <w:r>
        <w:rPr>
          <w:sz w:val="18"/>
          <w:szCs w:val="18"/>
        </w:rPr>
        <w:t>f Representatives and the Senate, the North laws creating a national banking and paper currency, increasing protective tariffs, subsidizing with land grants A&amp;M colleges and a transcontinental railroad across the North, encouraging farming on the Great Plains by the opportunity to earn 160-acre farms.</w:t>
      </w:r>
      <w:r w:rsidR="005E27FB" w:rsidRPr="007B6ADE">
        <w:rPr>
          <w:sz w:val="18"/>
          <w:szCs w:val="18"/>
        </w:rPr>
        <w:t xml:space="preserve"> </w:t>
      </w:r>
    </w:p>
    <w:p w:rsidR="005E27FB" w:rsidRPr="009D41B3" w:rsidRDefault="005E27FB" w:rsidP="005E27FB">
      <w:pPr>
        <w:rPr>
          <w:sz w:val="18"/>
          <w:szCs w:val="18"/>
        </w:rPr>
      </w:pPr>
    </w:p>
    <w:p w:rsidR="007B6ADE" w:rsidRDefault="007B6ADE" w:rsidP="005E27FB">
      <w:pPr>
        <w:rPr>
          <w:sz w:val="18"/>
          <w:szCs w:val="18"/>
        </w:rPr>
      </w:pPr>
      <w:r>
        <w:rPr>
          <w:sz w:val="18"/>
          <w:szCs w:val="18"/>
        </w:rPr>
        <w:t>W</w:t>
      </w:r>
      <w:r w:rsidRPr="009D41B3">
        <w:rPr>
          <w:sz w:val="18"/>
          <w:szCs w:val="18"/>
        </w:rPr>
        <w:t xml:space="preserve">e end </w:t>
      </w:r>
      <w:r>
        <w:rPr>
          <w:sz w:val="18"/>
          <w:szCs w:val="18"/>
        </w:rPr>
        <w:t>at the end of the century with these regions:</w:t>
      </w:r>
    </w:p>
    <w:p w:rsidR="0042708F" w:rsidRDefault="007B6ADE" w:rsidP="007B6ADE">
      <w:pPr>
        <w:pStyle w:val="ListParagraph"/>
        <w:numPr>
          <w:ilvl w:val="0"/>
          <w:numId w:val="42"/>
        </w:numPr>
        <w:rPr>
          <w:sz w:val="18"/>
          <w:szCs w:val="18"/>
        </w:rPr>
      </w:pPr>
      <w:r>
        <w:rPr>
          <w:sz w:val="18"/>
          <w:szCs w:val="18"/>
        </w:rPr>
        <w:t xml:space="preserve">The South impoverished and with share cropping and tenancy dominant. </w:t>
      </w:r>
    </w:p>
    <w:p w:rsidR="007B6ADE" w:rsidRDefault="007B6ADE" w:rsidP="007B6ADE">
      <w:pPr>
        <w:pStyle w:val="ListParagraph"/>
        <w:numPr>
          <w:ilvl w:val="0"/>
          <w:numId w:val="42"/>
        </w:numPr>
        <w:rPr>
          <w:sz w:val="18"/>
          <w:szCs w:val="18"/>
        </w:rPr>
      </w:pPr>
      <w:r>
        <w:rPr>
          <w:sz w:val="18"/>
          <w:szCs w:val="18"/>
        </w:rPr>
        <w:t xml:space="preserve">The North with extremes in wealth and poverty but with a rising middle class concerned about the future of the republic, with 49% protective tariffs, with deflation and currency backed by the Gold Standard, </w:t>
      </w:r>
    </w:p>
    <w:p w:rsidR="007B6ADE" w:rsidRDefault="007B6ADE" w:rsidP="007B6ADE">
      <w:pPr>
        <w:pStyle w:val="ListParagraph"/>
        <w:numPr>
          <w:ilvl w:val="0"/>
          <w:numId w:val="42"/>
        </w:numPr>
        <w:rPr>
          <w:sz w:val="18"/>
          <w:szCs w:val="18"/>
        </w:rPr>
      </w:pPr>
      <w:r>
        <w:rPr>
          <w:sz w:val="18"/>
          <w:szCs w:val="18"/>
        </w:rPr>
        <w:t>The Great Plains in the West having farmers struggling to survive in a world of selling crops at prices set by free markets and buying at prices set by protective tariffs</w:t>
      </w:r>
    </w:p>
    <w:p w:rsidR="007B6ADE" w:rsidRDefault="007B6ADE" w:rsidP="007B6ADE">
      <w:pPr>
        <w:pStyle w:val="ListParagraph"/>
        <w:numPr>
          <w:ilvl w:val="0"/>
          <w:numId w:val="42"/>
        </w:numPr>
        <w:rPr>
          <w:sz w:val="18"/>
          <w:szCs w:val="18"/>
        </w:rPr>
      </w:pPr>
      <w:r>
        <w:rPr>
          <w:sz w:val="18"/>
          <w:szCs w:val="18"/>
        </w:rPr>
        <w:t>New colonies in the Pacific and in the Caribbean.</w:t>
      </w:r>
    </w:p>
    <w:p w:rsidR="0042708F" w:rsidRDefault="0042708F" w:rsidP="0042708F">
      <w:pPr>
        <w:pStyle w:val="Heading3"/>
      </w:pPr>
      <w:r>
        <w:t>Reading Assignments and Resources to Aid Reading and Analysis</w:t>
      </w:r>
    </w:p>
    <w:p w:rsidR="00B65374" w:rsidRDefault="00B65374" w:rsidP="00B65374">
      <w:pPr>
        <w:pStyle w:val="Heading4"/>
        <w:rPr>
          <w:szCs w:val="18"/>
        </w:rPr>
      </w:pPr>
      <w:r>
        <w:rPr>
          <w:szCs w:val="18"/>
        </w:rPr>
        <w:t xml:space="preserve">Use of the Word </w:t>
      </w:r>
      <w:r w:rsidRPr="00B65374">
        <w:rPr>
          <w:i/>
          <w:szCs w:val="18"/>
        </w:rPr>
        <w:t xml:space="preserve">Chapter </w:t>
      </w:r>
    </w:p>
    <w:p w:rsidR="005B51A3" w:rsidRDefault="00B7090C" w:rsidP="00B65374">
      <w:pPr>
        <w:ind w:left="288"/>
        <w:rPr>
          <w:sz w:val="18"/>
          <w:szCs w:val="18"/>
        </w:rPr>
      </w:pPr>
      <w:r>
        <w:rPr>
          <w:sz w:val="18"/>
          <w:szCs w:val="18"/>
        </w:rPr>
        <w:t xml:space="preserve">Unit 1 consists of Chapters </w:t>
      </w:r>
      <w:r w:rsidR="007B6ADE">
        <w:rPr>
          <w:sz w:val="18"/>
          <w:szCs w:val="18"/>
        </w:rPr>
        <w:t>16-19</w:t>
      </w:r>
      <w:r>
        <w:rPr>
          <w:sz w:val="18"/>
          <w:szCs w:val="18"/>
        </w:rPr>
        <w:t xml:space="preserve">. The word </w:t>
      </w:r>
      <w:r w:rsidRPr="00B7090C">
        <w:rPr>
          <w:i/>
          <w:sz w:val="18"/>
          <w:szCs w:val="18"/>
        </w:rPr>
        <w:t>Chapter</w:t>
      </w:r>
      <w:r w:rsidR="005B51A3">
        <w:rPr>
          <w:sz w:val="18"/>
          <w:szCs w:val="18"/>
        </w:rPr>
        <w:t xml:space="preserve"> refers:</w:t>
      </w:r>
    </w:p>
    <w:p w:rsidR="005B51A3" w:rsidRDefault="00D62004" w:rsidP="005B51A3">
      <w:pPr>
        <w:pStyle w:val="ListParagraph"/>
        <w:numPr>
          <w:ilvl w:val="0"/>
          <w:numId w:val="41"/>
        </w:numPr>
        <w:rPr>
          <w:sz w:val="18"/>
          <w:szCs w:val="18"/>
        </w:rPr>
      </w:pPr>
      <w:r>
        <w:rPr>
          <w:sz w:val="18"/>
          <w:szCs w:val="18"/>
        </w:rPr>
        <w:t>T</w:t>
      </w:r>
      <w:r w:rsidR="005B51A3">
        <w:rPr>
          <w:sz w:val="18"/>
          <w:szCs w:val="18"/>
        </w:rPr>
        <w:t xml:space="preserve">o numbered parts of your textbook </w:t>
      </w:r>
    </w:p>
    <w:p w:rsidR="00B65374" w:rsidRPr="005B51A3" w:rsidRDefault="00D62004" w:rsidP="005B51A3">
      <w:pPr>
        <w:pStyle w:val="ListParagraph"/>
        <w:numPr>
          <w:ilvl w:val="0"/>
          <w:numId w:val="41"/>
        </w:numPr>
        <w:rPr>
          <w:sz w:val="18"/>
          <w:szCs w:val="18"/>
        </w:rPr>
      </w:pPr>
      <w:r w:rsidRPr="005B51A3">
        <w:rPr>
          <w:sz w:val="18"/>
          <w:szCs w:val="18"/>
        </w:rPr>
        <w:t>To</w:t>
      </w:r>
      <w:r w:rsidR="00B7090C" w:rsidRPr="005B51A3">
        <w:rPr>
          <w:sz w:val="18"/>
          <w:szCs w:val="18"/>
        </w:rPr>
        <w:t xml:space="preserve"> the specific Blackboard learning module for that chapter. </w:t>
      </w:r>
    </w:p>
    <w:p w:rsidR="0042708F" w:rsidRPr="00B7090C" w:rsidRDefault="00DF6EA2" w:rsidP="00F451BD">
      <w:pPr>
        <w:pStyle w:val="Heading4"/>
      </w:pPr>
      <w:r w:rsidRPr="00B7090C">
        <w:t>Required Textbook (</w:t>
      </w:r>
      <w:r w:rsidR="00E27444" w:rsidRPr="00A36044">
        <w:rPr>
          <w:i/>
        </w:rPr>
        <w:t>America: The Essentials Learning Edition</w:t>
      </w:r>
      <w:r w:rsidRPr="00B7090C">
        <w:t>)</w:t>
      </w:r>
      <w:r w:rsidR="00E27444" w:rsidRPr="00B7090C">
        <w:t xml:space="preserve">, Chapters </w:t>
      </w:r>
      <w:r w:rsidR="007B6ADE">
        <w:t>16-19</w:t>
      </w:r>
    </w:p>
    <w:p w:rsidR="00E27444" w:rsidRDefault="00E27444" w:rsidP="00B65374">
      <w:pPr>
        <w:ind w:left="288"/>
        <w:rPr>
          <w:sz w:val="18"/>
          <w:szCs w:val="18"/>
        </w:rPr>
      </w:pPr>
      <w:r>
        <w:rPr>
          <w:sz w:val="18"/>
          <w:szCs w:val="18"/>
        </w:rPr>
        <w:t xml:space="preserve">It can be helpful to examine each chapter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E27444" w:rsidRPr="00E27444" w:rsidRDefault="00B7090C" w:rsidP="00B7090C">
      <w:pPr>
        <w:pStyle w:val="Heading4"/>
        <w:rPr>
          <w:szCs w:val="18"/>
        </w:rPr>
      </w:pPr>
      <w:r>
        <w:rPr>
          <w:szCs w:val="18"/>
        </w:rPr>
        <w:t xml:space="preserve">Required </w:t>
      </w:r>
      <w:r w:rsidRPr="00F451BD">
        <w:t>Blackboard</w:t>
      </w:r>
      <w:r>
        <w:rPr>
          <w:szCs w:val="18"/>
        </w:rPr>
        <w:t xml:space="preserve"> Learning Modules within Unit 1, Chapters </w:t>
      </w:r>
      <w:r w:rsidR="007B6ADE">
        <w:rPr>
          <w:szCs w:val="18"/>
        </w:rPr>
        <w:t>16-19</w:t>
      </w:r>
    </w:p>
    <w:p w:rsidR="005B51A3" w:rsidRDefault="005B51A3" w:rsidP="005B51A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F451BD" w:rsidRDefault="00F451BD" w:rsidP="00F451BD">
      <w:pPr>
        <w:pStyle w:val="Heading3"/>
      </w:pPr>
      <w:r>
        <w:t>Graded Work</w:t>
      </w:r>
      <w:r w:rsidR="00906D4E">
        <w:t xml:space="preserve"> in Unit 1</w:t>
      </w:r>
    </w:p>
    <w:p w:rsidR="00A36044" w:rsidRPr="00A36044" w:rsidRDefault="00A36044" w:rsidP="00A36044">
      <w:pPr>
        <w:rPr>
          <w:sz w:val="18"/>
          <w:szCs w:val="18"/>
        </w:rPr>
      </w:pPr>
      <w:r>
        <w:rPr>
          <w:sz w:val="18"/>
          <w:szCs w:val="18"/>
        </w:rPr>
        <w:t>Available dates and due dates are in the Course Schedule</w:t>
      </w:r>
      <w:r w:rsidR="00D62004">
        <w:rPr>
          <w:sz w:val="18"/>
          <w:szCs w:val="18"/>
        </w:rPr>
        <w:t xml:space="preserve"> at the end of the Syllabus &amp; Schedule</w:t>
      </w:r>
      <w:r>
        <w:rPr>
          <w:sz w:val="18"/>
          <w:szCs w:val="18"/>
        </w:rPr>
        <w:t>.</w:t>
      </w:r>
    </w:p>
    <w:p w:rsidR="00F451BD" w:rsidRPr="00906D4E" w:rsidRDefault="00906D4E" w:rsidP="00F451BD">
      <w:pPr>
        <w:pStyle w:val="ListParagraph"/>
        <w:numPr>
          <w:ilvl w:val="0"/>
          <w:numId w:val="40"/>
        </w:numPr>
        <w:rPr>
          <w:sz w:val="18"/>
          <w:szCs w:val="18"/>
        </w:rPr>
      </w:pPr>
      <w:r w:rsidRPr="00906D4E">
        <w:rPr>
          <w:sz w:val="18"/>
          <w:szCs w:val="18"/>
        </w:rPr>
        <w:t>Begin reading the</w:t>
      </w:r>
      <w:r w:rsidR="00D62004">
        <w:rPr>
          <w:sz w:val="18"/>
          <w:szCs w:val="18"/>
        </w:rPr>
        <w:t xml:space="preserve"> 2 primaries for </w:t>
      </w:r>
      <w:r w:rsidRPr="00906D4E">
        <w:rPr>
          <w:sz w:val="18"/>
          <w:szCs w:val="18"/>
        </w:rPr>
        <w:t>Chapter 1</w:t>
      </w:r>
      <w:r w:rsidR="00D62004">
        <w:rPr>
          <w:sz w:val="18"/>
          <w:szCs w:val="18"/>
        </w:rPr>
        <w:t>6</w:t>
      </w:r>
      <w:r w:rsidRPr="00906D4E">
        <w:rPr>
          <w:sz w:val="18"/>
          <w:szCs w:val="18"/>
        </w:rPr>
        <w:t>—</w:t>
      </w:r>
      <w:r w:rsidR="00D62004">
        <w:rPr>
          <w:sz w:val="18"/>
          <w:szCs w:val="18"/>
        </w:rPr>
        <w:t xml:space="preserve">one a collection of 4 letters to and from Governor Altgeld and one </w:t>
      </w:r>
      <w:r w:rsidR="00D62004" w:rsidRPr="00D62004">
        <w:rPr>
          <w:sz w:val="18"/>
          <w:szCs w:val="18"/>
        </w:rPr>
        <w:t>George Pullman’s Response to Striking Workers</w:t>
      </w:r>
      <w:r w:rsidRPr="00906D4E">
        <w:rPr>
          <w:sz w:val="18"/>
          <w:szCs w:val="18"/>
        </w:rPr>
        <w:t xml:space="preserve">. </w:t>
      </w:r>
    </w:p>
    <w:p w:rsidR="00906D4E" w:rsidRPr="00906D4E" w:rsidRDefault="00906D4E" w:rsidP="00F451BD">
      <w:pPr>
        <w:pStyle w:val="ListParagraph"/>
        <w:numPr>
          <w:ilvl w:val="0"/>
          <w:numId w:val="40"/>
        </w:numPr>
        <w:rPr>
          <w:sz w:val="18"/>
          <w:szCs w:val="18"/>
        </w:rPr>
      </w:pPr>
      <w:r w:rsidRPr="00906D4E">
        <w:rPr>
          <w:sz w:val="18"/>
          <w:szCs w:val="18"/>
        </w:rPr>
        <w:t>Begin your postings in Topic 1-1: Concept Collaboration for Unit 1. You may post ei</w:t>
      </w:r>
      <w:r w:rsidR="00D62004">
        <w:rPr>
          <w:sz w:val="18"/>
          <w:szCs w:val="18"/>
        </w:rPr>
        <w:t xml:space="preserve">ther a definition of a concept </w:t>
      </w:r>
      <w:r w:rsidRPr="00906D4E">
        <w:rPr>
          <w:sz w:val="18"/>
          <w:szCs w:val="18"/>
        </w:rPr>
        <w:t xml:space="preserve">required to understand that reading or a question about those concepts. </w:t>
      </w:r>
      <w:r w:rsidR="00A36044">
        <w:rPr>
          <w:sz w:val="18"/>
          <w:szCs w:val="18"/>
        </w:rPr>
        <w:br/>
      </w:r>
      <w:r w:rsidRPr="00906D4E">
        <w:rPr>
          <w:sz w:val="18"/>
          <w:szCs w:val="18"/>
        </w:rPr>
        <w:t xml:space="preserve">Basic definition of concepts are included in the Chapter </w:t>
      </w:r>
      <w:r w:rsidR="00A36044">
        <w:rPr>
          <w:sz w:val="18"/>
          <w:szCs w:val="18"/>
        </w:rPr>
        <w:t xml:space="preserve">1 </w:t>
      </w:r>
      <w:r w:rsidRPr="00906D4E">
        <w:rPr>
          <w:sz w:val="18"/>
          <w:szCs w:val="18"/>
        </w:rPr>
        <w:t>to help you get started.</w:t>
      </w:r>
      <w:r w:rsidRPr="00906D4E">
        <w:rPr>
          <w:sz w:val="18"/>
          <w:szCs w:val="18"/>
        </w:rPr>
        <w:br/>
        <w:t>Continue to post throughout Unit 1 as you encounter additional concepts.</w:t>
      </w:r>
    </w:p>
    <w:p w:rsidR="00A36044" w:rsidRDefault="00A36044" w:rsidP="00F451BD">
      <w:pPr>
        <w:pStyle w:val="ListParagraph"/>
        <w:numPr>
          <w:ilvl w:val="0"/>
          <w:numId w:val="40"/>
        </w:numPr>
        <w:rPr>
          <w:sz w:val="18"/>
          <w:szCs w:val="18"/>
        </w:rPr>
      </w:pPr>
      <w:r>
        <w:rPr>
          <w:sz w:val="18"/>
          <w:szCs w:val="18"/>
        </w:rPr>
        <w:t>Begin taking Evidence Quizzes 1 to 4. T</w:t>
      </w:r>
      <w:r w:rsidR="00906D4E">
        <w:rPr>
          <w:sz w:val="18"/>
          <w:szCs w:val="18"/>
        </w:rPr>
        <w:t xml:space="preserve">ake at least 1 </w:t>
      </w:r>
      <w:r>
        <w:rPr>
          <w:sz w:val="18"/>
          <w:szCs w:val="18"/>
        </w:rPr>
        <w:t xml:space="preserve">before you post in Topic 1-2. </w:t>
      </w:r>
    </w:p>
    <w:p w:rsidR="00A36044" w:rsidRDefault="00A36044" w:rsidP="00F451BD">
      <w:pPr>
        <w:pStyle w:val="ListParagraph"/>
        <w:numPr>
          <w:ilvl w:val="0"/>
          <w:numId w:val="40"/>
        </w:numPr>
        <w:rPr>
          <w:sz w:val="18"/>
          <w:szCs w:val="18"/>
        </w:rPr>
      </w:pPr>
      <w:r>
        <w:rPr>
          <w:sz w:val="18"/>
          <w:szCs w:val="18"/>
        </w:rPr>
        <w:t>Post in Topic 1-2. Instructions are provided with that topic.</w:t>
      </w:r>
      <w:r w:rsidR="00D62004">
        <w:rPr>
          <w:sz w:val="18"/>
          <w:szCs w:val="18"/>
        </w:rPr>
        <w:t xml:space="preserve"> </w:t>
      </w:r>
    </w:p>
    <w:p w:rsidR="00F451BD" w:rsidRDefault="00A36044" w:rsidP="002D6842">
      <w:pPr>
        <w:pStyle w:val="ListParagraph"/>
        <w:numPr>
          <w:ilvl w:val="0"/>
          <w:numId w:val="40"/>
        </w:numPr>
        <w:rPr>
          <w:sz w:val="18"/>
          <w:szCs w:val="18"/>
        </w:rPr>
      </w:pPr>
      <w:r w:rsidRPr="00A36044">
        <w:rPr>
          <w:sz w:val="18"/>
          <w:szCs w:val="18"/>
        </w:rPr>
        <w:t xml:space="preserve">Complete the parts of the Unit 1 exam before the close of the Unit. There is a study guide for each unit to help you prepare. </w:t>
      </w:r>
      <w:r>
        <w:rPr>
          <w:sz w:val="18"/>
          <w:szCs w:val="18"/>
        </w:rPr>
        <w:t>Notice the additional information available on that study guide for the concepts exam and the written exam. The 3 parts of the Unit 1 exam are:</w:t>
      </w:r>
    </w:p>
    <w:p w:rsidR="00A36044" w:rsidRDefault="00A36044" w:rsidP="00A36044">
      <w:pPr>
        <w:pStyle w:val="ListParagraph"/>
        <w:numPr>
          <w:ilvl w:val="1"/>
          <w:numId w:val="40"/>
        </w:numPr>
        <w:rPr>
          <w:sz w:val="18"/>
          <w:szCs w:val="18"/>
        </w:rPr>
      </w:pPr>
      <w:r>
        <w:rPr>
          <w:sz w:val="18"/>
          <w:szCs w:val="18"/>
        </w:rPr>
        <w:t>Unit 1 Objective Exam</w:t>
      </w:r>
    </w:p>
    <w:p w:rsidR="00A36044" w:rsidRDefault="00A36044" w:rsidP="00A36044">
      <w:pPr>
        <w:pStyle w:val="ListParagraph"/>
        <w:numPr>
          <w:ilvl w:val="1"/>
          <w:numId w:val="40"/>
        </w:numPr>
        <w:rPr>
          <w:sz w:val="18"/>
          <w:szCs w:val="18"/>
        </w:rPr>
      </w:pPr>
      <w:r>
        <w:rPr>
          <w:sz w:val="18"/>
          <w:szCs w:val="18"/>
        </w:rPr>
        <w:t>Unit 1 Concepts Exam</w:t>
      </w:r>
    </w:p>
    <w:p w:rsidR="00A36044" w:rsidRPr="00A36044" w:rsidRDefault="00A36044" w:rsidP="00A36044">
      <w:pPr>
        <w:pStyle w:val="ListParagraph"/>
        <w:numPr>
          <w:ilvl w:val="1"/>
          <w:numId w:val="40"/>
        </w:numPr>
        <w:rPr>
          <w:sz w:val="18"/>
          <w:szCs w:val="18"/>
        </w:rPr>
      </w:pPr>
      <w:r>
        <w:rPr>
          <w:sz w:val="18"/>
          <w:szCs w:val="18"/>
        </w:rPr>
        <w:t>Unit 1 Written Exam</w:t>
      </w:r>
    </w:p>
    <w:sectPr w:rsidR="00A36044" w:rsidRPr="00A3604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C01BE"/>
    <w:multiLevelType w:val="hybridMultilevel"/>
    <w:tmpl w:val="27E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3"/>
  </w:num>
  <w:num w:numId="5">
    <w:abstractNumId w:val="33"/>
  </w:num>
  <w:num w:numId="6">
    <w:abstractNumId w:val="5"/>
  </w:num>
  <w:num w:numId="7">
    <w:abstractNumId w:val="20"/>
  </w:num>
  <w:num w:numId="8">
    <w:abstractNumId w:val="41"/>
  </w:num>
  <w:num w:numId="9">
    <w:abstractNumId w:val="34"/>
  </w:num>
  <w:num w:numId="10">
    <w:abstractNumId w:val="30"/>
  </w:num>
  <w:num w:numId="11">
    <w:abstractNumId w:val="29"/>
  </w:num>
  <w:num w:numId="12">
    <w:abstractNumId w:val="22"/>
  </w:num>
  <w:num w:numId="13">
    <w:abstractNumId w:val="9"/>
  </w:num>
  <w:num w:numId="14">
    <w:abstractNumId w:val="18"/>
  </w:num>
  <w:num w:numId="15">
    <w:abstractNumId w:val="27"/>
  </w:num>
  <w:num w:numId="16">
    <w:abstractNumId w:val="21"/>
  </w:num>
  <w:num w:numId="17">
    <w:abstractNumId w:val="39"/>
  </w:num>
  <w:num w:numId="18">
    <w:abstractNumId w:val="4"/>
  </w:num>
  <w:num w:numId="19">
    <w:abstractNumId w:val="38"/>
  </w:num>
  <w:num w:numId="20">
    <w:abstractNumId w:val="13"/>
  </w:num>
  <w:num w:numId="21">
    <w:abstractNumId w:val="2"/>
  </w:num>
  <w:num w:numId="22">
    <w:abstractNumId w:val="24"/>
  </w:num>
  <w:num w:numId="23">
    <w:abstractNumId w:val="31"/>
  </w:num>
  <w:num w:numId="24">
    <w:abstractNumId w:val="40"/>
  </w:num>
  <w:num w:numId="25">
    <w:abstractNumId w:val="32"/>
  </w:num>
  <w:num w:numId="26">
    <w:abstractNumId w:val="23"/>
  </w:num>
  <w:num w:numId="27">
    <w:abstractNumId w:val="25"/>
  </w:num>
  <w:num w:numId="28">
    <w:abstractNumId w:val="17"/>
  </w:num>
  <w:num w:numId="29">
    <w:abstractNumId w:val="16"/>
  </w:num>
  <w:num w:numId="30">
    <w:abstractNumId w:val="0"/>
  </w:num>
  <w:num w:numId="31">
    <w:abstractNumId w:val="12"/>
  </w:num>
  <w:num w:numId="32">
    <w:abstractNumId w:val="19"/>
  </w:num>
  <w:num w:numId="33">
    <w:abstractNumId w:val="7"/>
  </w:num>
  <w:num w:numId="34">
    <w:abstractNumId w:val="8"/>
  </w:num>
  <w:num w:numId="35">
    <w:abstractNumId w:val="26"/>
  </w:num>
  <w:num w:numId="36">
    <w:abstractNumId w:val="10"/>
  </w:num>
  <w:num w:numId="37">
    <w:abstractNumId w:val="28"/>
  </w:num>
  <w:num w:numId="38">
    <w:abstractNumId w:val="14"/>
  </w:num>
  <w:num w:numId="39">
    <w:abstractNumId w:val="37"/>
  </w:num>
  <w:num w:numId="40">
    <w:abstractNumId w:val="1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116F"/>
    <w:rsid w:val="00292CB9"/>
    <w:rsid w:val="002D6842"/>
    <w:rsid w:val="002E45B2"/>
    <w:rsid w:val="003328C9"/>
    <w:rsid w:val="00335D0B"/>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35B2C"/>
    <w:rsid w:val="00641FEA"/>
    <w:rsid w:val="00665367"/>
    <w:rsid w:val="006748FF"/>
    <w:rsid w:val="006A4D28"/>
    <w:rsid w:val="006F6065"/>
    <w:rsid w:val="006F637D"/>
    <w:rsid w:val="0070724E"/>
    <w:rsid w:val="00727719"/>
    <w:rsid w:val="0076330F"/>
    <w:rsid w:val="0077150A"/>
    <w:rsid w:val="00775B03"/>
    <w:rsid w:val="00775CCA"/>
    <w:rsid w:val="00791C72"/>
    <w:rsid w:val="007B6ADE"/>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2004"/>
    <w:rsid w:val="00D64F43"/>
    <w:rsid w:val="00D70CBD"/>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0982-1E23-48C7-9574-68273E7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Bibus, Connie</cp:lastModifiedBy>
  <cp:revision>2</cp:revision>
  <cp:lastPrinted>2016-09-11T12:47:00Z</cp:lastPrinted>
  <dcterms:created xsi:type="dcterms:W3CDTF">2016-10-24T19:05:00Z</dcterms:created>
  <dcterms:modified xsi:type="dcterms:W3CDTF">2016-10-24T19:05:00Z</dcterms:modified>
</cp:coreProperties>
</file>