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0"/>
      </w:tblGrid>
      <w:tr w:rsidR="007F3E87" w:rsidRPr="007F3E87" w:rsidTr="00054D99">
        <w:tc>
          <w:tcPr>
            <w:tcW w:w="93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F3E87" w:rsidRPr="007F3E87" w:rsidRDefault="007F3E87" w:rsidP="007F3E87">
            <w:pPr>
              <w:spacing w:before="100" w:beforeAutospacing="1" w:after="240" w:line="240" w:lineRule="auto"/>
              <w:rPr>
                <w:rFonts w:ascii="inherit" w:eastAsia="Times New Roman" w:hAnsi="inherit" w:cs="Times New Roman"/>
                <w:color w:val="000000"/>
                <w:sz w:val="24"/>
                <w:szCs w:val="24"/>
              </w:rPr>
            </w:pPr>
            <w:r w:rsidRPr="007F3E87">
              <w:rPr>
                <w:rFonts w:ascii="Verdana" w:eastAsia="Times New Roman" w:hAnsi="Verdana" w:cs="Times New Roman"/>
                <w:b/>
                <w:bCs/>
                <w:color w:val="000000"/>
                <w:sz w:val="18"/>
                <w:szCs w:val="18"/>
              </w:rPr>
              <w:t>General Caution</w:t>
            </w:r>
            <w:r w:rsidRPr="007F3E87">
              <w:rPr>
                <w:rFonts w:ascii="Verdana" w:eastAsia="Times New Roman" w:hAnsi="Verdana" w:cs="Times New Roman"/>
                <w:b/>
                <w:bCs/>
                <w:color w:val="000000"/>
                <w:sz w:val="18"/>
                <w:szCs w:val="18"/>
              </w:rPr>
              <w:br/>
              <w:t xml:space="preserve">  </w:t>
            </w:r>
            <w:r w:rsidRPr="007F3E87">
              <w:rPr>
                <w:rFonts w:ascii="Verdana" w:eastAsia="Times New Roman" w:hAnsi="Verdana" w:cs="Times New Roman"/>
                <w:color w:val="000000"/>
                <w:sz w:val="18"/>
                <w:szCs w:val="18"/>
              </w:rPr>
              <w:t xml:space="preserve">Never use a summary page (such as </w:t>
            </w:r>
            <w:r w:rsidR="00054D99">
              <w:rPr>
                <w:rFonts w:ascii="Verdana" w:eastAsia="Times New Roman" w:hAnsi="Verdana" w:cs="Times New Roman"/>
                <w:color w:val="000000"/>
                <w:sz w:val="18"/>
                <w:szCs w:val="18"/>
              </w:rPr>
              <w:t>866-867</w:t>
            </w:r>
            <w:r w:rsidRPr="007F3E87">
              <w:rPr>
                <w:rFonts w:ascii="Verdana" w:eastAsia="Times New Roman" w:hAnsi="Verdana" w:cs="Times New Roman"/>
                <w:color w:val="000000"/>
                <w:sz w:val="18"/>
                <w:szCs w:val="18"/>
              </w:rPr>
              <w:t>) as a source. Repeatedly students misinterpret them.</w:t>
            </w:r>
          </w:p>
          <w:p w:rsidR="00054D99" w:rsidRDefault="007F3E87" w:rsidP="00054D99">
            <w:r w:rsidRPr="007F3E87">
              <w:rPr>
                <w:rFonts w:ascii="Verdana" w:eastAsia="Times New Roman" w:hAnsi="Verdana" w:cs="Times New Roman"/>
                <w:b/>
                <w:bCs/>
                <w:color w:val="000000"/>
                <w:sz w:val="18"/>
                <w:szCs w:val="18"/>
              </w:rPr>
              <w:t>Safe Pages list for each of the Primaries</w:t>
            </w:r>
            <w:r w:rsidRPr="007F3E87">
              <w:rPr>
                <w:rFonts w:ascii="Verdana" w:eastAsia="Times New Roman" w:hAnsi="Verdana" w:cs="Times New Roman"/>
                <w:b/>
                <w:bCs/>
                <w:color w:val="000000"/>
                <w:sz w:val="18"/>
                <w:szCs w:val="18"/>
              </w:rPr>
              <w:br/>
            </w:r>
            <w:r w:rsidR="00054D99">
              <w:t xml:space="preserve">For the </w:t>
            </w:r>
            <w:r w:rsidR="00054D99">
              <w:t xml:space="preserve">4 letters and Pullman’s response </w:t>
            </w:r>
            <w:bookmarkStart w:id="0" w:name="_GoBack"/>
            <w:bookmarkEnd w:id="0"/>
            <w:r w:rsidR="00054D99">
              <w:t>on the Pullman Strike</w:t>
            </w:r>
            <w:r w:rsidR="00054D99">
              <w:t>, these pages from the textbook provide essential context: 581 (Background), 584-585 (federal governm</w:t>
            </w:r>
            <w:r w:rsidR="00054D99">
              <w:t>ent action)</w:t>
            </w:r>
            <w:r w:rsidR="00054D99">
              <w:br/>
            </w:r>
            <w:r w:rsidR="00054D99" w:rsidRPr="00054D99">
              <w:rPr>
                <w:b/>
                <w:i/>
                <w:highlight w:val="cyan"/>
              </w:rPr>
              <w:t>Tip</w:t>
            </w:r>
            <w:r w:rsidR="00054D99">
              <w:t xml:space="preserve">: The primary includes the governor of Illinois—and that is </w:t>
            </w:r>
            <w:r w:rsidR="00054D99" w:rsidRPr="00054D99">
              <w:rPr>
                <w:b/>
              </w:rPr>
              <w:t>state</w:t>
            </w:r>
            <w:r w:rsidR="00054D99">
              <w:t xml:space="preserve"> government action. </w:t>
            </w:r>
          </w:p>
          <w:p w:rsidR="00054D99" w:rsidRDefault="007F3E87" w:rsidP="00054D99">
            <w:r w:rsidRPr="007F3E87">
              <w:rPr>
                <w:rFonts w:ascii="inherit" w:eastAsia="Times New Roman" w:hAnsi="inherit" w:cs="Times New Roman"/>
                <w:color w:val="000000"/>
                <w:sz w:val="24"/>
                <w:szCs w:val="24"/>
              </w:rPr>
              <w:t> </w:t>
            </w:r>
            <w:r w:rsidR="00054D99">
              <w:t xml:space="preserve">For the </w:t>
            </w:r>
            <w:r w:rsidR="00054D99">
              <w:t>Hankel primary (especially the AAA)</w:t>
            </w:r>
            <w:r w:rsidR="00054D99">
              <w:t>, these pages from the textbook provide essential context: 830-831, 839, 843, 847-848, 855 (if y</w:t>
            </w:r>
            <w:r w:rsidR="00054D99">
              <w:t>ou cover the Supreme Court)</w:t>
            </w:r>
            <w:r w:rsidR="00054D99">
              <w:t xml:space="preserve"> </w:t>
            </w:r>
            <w:r w:rsidR="00054D99">
              <w:br/>
            </w:r>
            <w:r w:rsidR="00054D99" w:rsidRPr="00054D99">
              <w:rPr>
                <w:b/>
                <w:i/>
                <w:highlight w:val="cyan"/>
              </w:rPr>
              <w:t>Tip</w:t>
            </w:r>
            <w:r w:rsidR="00054D99">
              <w:t xml:space="preserve">: Given the size of the content, you are safer in only dealing with agricultural issues—not other crises. On the pages listed, only use information about the farm crisis. </w:t>
            </w:r>
          </w:p>
          <w:p w:rsidR="007F3E87" w:rsidRPr="00054D99" w:rsidRDefault="00054D99" w:rsidP="00054D99">
            <w:r>
              <w:t xml:space="preserve">For the </w:t>
            </w:r>
            <w:r>
              <w:t>GI Bill</w:t>
            </w:r>
            <w:r>
              <w:t>, these pages from the textbook provide essential context: _</w:t>
            </w:r>
            <w:r>
              <w:br/>
              <w:t xml:space="preserve">774 (very brief but says why unplanned return of servicemen was World War I’s crisis), 941, 972-973 </w:t>
            </w:r>
            <w:r>
              <w:br/>
            </w:r>
            <w:r w:rsidRPr="00054D99">
              <w:rPr>
                <w:b/>
                <w:i/>
                <w:highlight w:val="cyan"/>
              </w:rPr>
              <w:t>Tip</w:t>
            </w:r>
            <w:r>
              <w:t>:: Notice that you can tell the potential economic crisis by knowing what happened in World War I. The GI Bill is meant to prevent that crisis—and it does. It also has other positive consequences.</w:t>
            </w:r>
          </w:p>
        </w:tc>
      </w:tr>
    </w:tbl>
    <w:p w:rsidR="001251AA" w:rsidRDefault="001251AA"/>
    <w:sectPr w:rsidR="001251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0824EF"/>
    <w:multiLevelType w:val="multilevel"/>
    <w:tmpl w:val="29A29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F375323"/>
    <w:multiLevelType w:val="multilevel"/>
    <w:tmpl w:val="37AE9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87"/>
    <w:rsid w:val="00054D99"/>
    <w:rsid w:val="001251AA"/>
    <w:rsid w:val="007F3E87"/>
    <w:rsid w:val="008603F7"/>
    <w:rsid w:val="00AD31C5"/>
    <w:rsid w:val="00B13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591AF6-21D6-4E32-83D1-D8F164D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213968">
      <w:bodyDiv w:val="1"/>
      <w:marLeft w:val="0"/>
      <w:marRight w:val="0"/>
      <w:marTop w:val="0"/>
      <w:marBottom w:val="0"/>
      <w:divBdr>
        <w:top w:val="none" w:sz="0" w:space="0" w:color="auto"/>
        <w:left w:val="none" w:sz="0" w:space="0" w:color="auto"/>
        <w:bottom w:val="none" w:sz="0" w:space="0" w:color="auto"/>
        <w:right w:val="none" w:sz="0" w:space="0" w:color="auto"/>
      </w:divBdr>
      <w:divsChild>
        <w:div w:id="415057584">
          <w:marLeft w:val="0"/>
          <w:marRight w:val="0"/>
          <w:marTop w:val="0"/>
          <w:marBottom w:val="0"/>
          <w:divBdr>
            <w:top w:val="none" w:sz="0" w:space="0" w:color="auto"/>
            <w:left w:val="none" w:sz="0" w:space="0" w:color="auto"/>
            <w:bottom w:val="none" w:sz="0" w:space="0" w:color="auto"/>
            <w:right w:val="none" w:sz="0" w:space="0" w:color="auto"/>
          </w:divBdr>
          <w:divsChild>
            <w:div w:id="522086211">
              <w:marLeft w:val="0"/>
              <w:marRight w:val="0"/>
              <w:marTop w:val="180"/>
              <w:marBottom w:val="0"/>
              <w:divBdr>
                <w:top w:val="none" w:sz="0" w:space="0" w:color="auto"/>
                <w:left w:val="none" w:sz="0" w:space="0" w:color="auto"/>
                <w:bottom w:val="none" w:sz="0" w:space="0" w:color="auto"/>
                <w:right w:val="none" w:sz="0" w:space="0" w:color="auto"/>
              </w:divBdr>
              <w:divsChild>
                <w:div w:id="1001733362">
                  <w:marLeft w:val="3330"/>
                  <w:marRight w:val="180"/>
                  <w:marTop w:val="0"/>
                  <w:marBottom w:val="0"/>
                  <w:divBdr>
                    <w:top w:val="none" w:sz="0" w:space="0" w:color="auto"/>
                    <w:left w:val="none" w:sz="0" w:space="0" w:color="auto"/>
                    <w:bottom w:val="none" w:sz="0" w:space="0" w:color="auto"/>
                    <w:right w:val="none" w:sz="0" w:space="0" w:color="auto"/>
                  </w:divBdr>
                  <w:divsChild>
                    <w:div w:id="705760245">
                      <w:marLeft w:val="0"/>
                      <w:marRight w:val="0"/>
                      <w:marTop w:val="0"/>
                      <w:marBottom w:val="0"/>
                      <w:divBdr>
                        <w:top w:val="none" w:sz="0" w:space="0" w:color="auto"/>
                        <w:left w:val="none" w:sz="0" w:space="0" w:color="auto"/>
                        <w:bottom w:val="none" w:sz="0" w:space="0" w:color="auto"/>
                        <w:right w:val="none" w:sz="0" w:space="0" w:color="auto"/>
                      </w:divBdr>
                      <w:divsChild>
                        <w:div w:id="770316741">
                          <w:marLeft w:val="0"/>
                          <w:marRight w:val="0"/>
                          <w:marTop w:val="0"/>
                          <w:marBottom w:val="0"/>
                          <w:divBdr>
                            <w:top w:val="none" w:sz="0" w:space="0" w:color="auto"/>
                            <w:left w:val="none" w:sz="0" w:space="0" w:color="auto"/>
                            <w:bottom w:val="none" w:sz="0" w:space="0" w:color="auto"/>
                            <w:right w:val="none" w:sz="0" w:space="0" w:color="auto"/>
                          </w:divBdr>
                          <w:divsChild>
                            <w:div w:id="202526146">
                              <w:marLeft w:val="0"/>
                              <w:marRight w:val="0"/>
                              <w:marTop w:val="0"/>
                              <w:marBottom w:val="0"/>
                              <w:divBdr>
                                <w:top w:val="single" w:sz="6" w:space="0" w:color="AAAAAA"/>
                                <w:left w:val="single" w:sz="6" w:space="0" w:color="AAAAAA"/>
                                <w:bottom w:val="single" w:sz="6" w:space="0" w:color="AAAAAA"/>
                                <w:right w:val="single" w:sz="6" w:space="0" w:color="AAAAAA"/>
                              </w:divBdr>
                              <w:divsChild>
                                <w:div w:id="1517231406">
                                  <w:marLeft w:val="0"/>
                                  <w:marRight w:val="0"/>
                                  <w:marTop w:val="0"/>
                                  <w:marBottom w:val="0"/>
                                  <w:divBdr>
                                    <w:top w:val="none" w:sz="0" w:space="0" w:color="auto"/>
                                    <w:left w:val="none" w:sz="0" w:space="0" w:color="auto"/>
                                    <w:bottom w:val="none" w:sz="0" w:space="0" w:color="auto"/>
                                    <w:right w:val="none" w:sz="0" w:space="0" w:color="auto"/>
                                  </w:divBdr>
                                  <w:divsChild>
                                    <w:div w:id="6886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cjbibus</dc:creator>
  <cp:keywords/>
  <dc:description/>
  <cp:lastModifiedBy>cjbibus</cp:lastModifiedBy>
  <cp:revision>3</cp:revision>
  <dcterms:created xsi:type="dcterms:W3CDTF">2017-04-04T22:31:00Z</dcterms:created>
  <dcterms:modified xsi:type="dcterms:W3CDTF">2017-04-04T22:37:00Z</dcterms:modified>
</cp:coreProperties>
</file>