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3135">
      <w:pPr>
        <w:pStyle w:val="Heading1"/>
      </w:pPr>
      <w:r>
        <w:t>Cohort information and changes in our national debt – They both shift a lot in Unit 3—the years that are your future.</w:t>
      </w: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Cohort issues</w:t>
      </w:r>
      <w:r>
        <w:rPr>
          <w:rStyle w:val="EndnoteReference"/>
          <w:rFonts w:ascii="Arial Narrow" w:hAnsi="Arial Narrow" w:cs="Calibri"/>
          <w:sz w:val="20"/>
          <w:szCs w:val="20"/>
        </w:rPr>
        <w:endnoteReference w:id="1"/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 w:cs="Calibri"/>
          <w:sz w:val="20"/>
          <w:szCs w:val="20"/>
        </w:rPr>
        <w:t>and deficits in the chart below:</w:t>
      </w:r>
    </w:p>
    <w:p w:rsidR="00000000" w:rsidRDefault="00C3313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The Greatest Generation – “Born: 1921 to 1927” – The earliest was 24 in 1945 at the end of World War II.</w:t>
      </w:r>
    </w:p>
    <w:p w:rsidR="00000000" w:rsidRDefault="00C3313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The Silent Generation – “Born: 1928 to 1927” – The earliest was 17 in 1945 at the end of World War II. Think about the difference in being drafted for </w:t>
      </w:r>
      <w:r>
        <w:rPr>
          <w:rFonts w:ascii="Arial Narrow" w:hAnsi="Arial Narrow" w:cs="Calibri"/>
          <w:sz w:val="20"/>
          <w:szCs w:val="20"/>
        </w:rPr>
        <w:t>this cohort and the earlier one above.</w:t>
      </w:r>
    </w:p>
    <w:p w:rsidR="00000000" w:rsidRDefault="00C3313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eastAsiaTheme="majorEastAsia" w:hAnsi="Arial Narrow" w:cstheme="majorBidi"/>
          <w:color w:val="2E74B5" w:themeColor="accent1" w:themeShade="BF"/>
          <w:sz w:val="20"/>
          <w:szCs w:val="20"/>
        </w:rPr>
        <w:t>*</w:t>
      </w:r>
      <w:r>
        <w:rPr>
          <w:rFonts w:ascii="Arial Narrow" w:hAnsi="Arial Narrow" w:cs="Calibri"/>
          <w:sz w:val="20"/>
          <w:szCs w:val="20"/>
        </w:rPr>
        <w:t xml:space="preserve">Baby boomers – “Born: 1946 to 1964”” </w:t>
      </w:r>
    </w:p>
    <w:p w:rsidR="00000000" w:rsidRDefault="00C3313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eastAsiaTheme="majorEastAsia" w:hAnsi="Arial Narrow" w:cstheme="majorBidi"/>
          <w:color w:val="2E74B5" w:themeColor="accent1" w:themeShade="BF"/>
          <w:sz w:val="20"/>
          <w:szCs w:val="20"/>
        </w:rPr>
        <w:t>*</w:t>
      </w:r>
      <w:r>
        <w:rPr>
          <w:rFonts w:ascii="Arial Narrow" w:hAnsi="Arial Narrow" w:cs="Calibri"/>
          <w:sz w:val="20"/>
          <w:szCs w:val="20"/>
        </w:rPr>
        <w:t xml:space="preserve">Gen X - </w:t>
      </w:r>
      <w:r>
        <w:rPr>
          <w:bCs/>
          <w:sz w:val="20"/>
          <w:szCs w:val="20"/>
        </w:rPr>
        <w:t xml:space="preserve">“Born: 1965 to 1980” </w:t>
      </w:r>
      <w:proofErr w:type="gramStart"/>
      <w:r>
        <w:rPr>
          <w:bCs/>
          <w:sz w:val="20"/>
          <w:szCs w:val="20"/>
        </w:rPr>
        <w:t>-  Unit</w:t>
      </w:r>
      <w:proofErr w:type="gramEnd"/>
      <w:r>
        <w:rPr>
          <w:bCs/>
          <w:sz w:val="20"/>
          <w:szCs w:val="20"/>
        </w:rPr>
        <w:t xml:space="preserve"> 3 Exam uses the specifics to the left. FYI: The Learning Quiz has the same meaning but</w:t>
      </w:r>
      <w:r>
        <w:rPr>
          <w:b/>
          <w:bCs/>
          <w:sz w:val="20"/>
          <w:szCs w:val="20"/>
        </w:rPr>
        <w:t xml:space="preserve"> currently</w:t>
      </w:r>
      <w:r>
        <w:rPr>
          <w:bCs/>
          <w:sz w:val="20"/>
          <w:szCs w:val="20"/>
        </w:rPr>
        <w:t xml:space="preserve"> says “the generation of Americans born in t</w:t>
      </w:r>
      <w:r>
        <w:rPr>
          <w:bCs/>
          <w:sz w:val="20"/>
          <w:szCs w:val="20"/>
        </w:rPr>
        <w:t xml:space="preserve">he 1960s and 1970s” (Pew Research is more authoritative and I will be changing it for the next term. I will also alert you by announcement. </w:t>
      </w:r>
    </w:p>
    <w:p w:rsidR="00000000" w:rsidRDefault="00C3313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eastAsiaTheme="majorEastAsia" w:hAnsi="Arial Narrow" w:cstheme="majorBidi"/>
          <w:color w:val="2E74B5" w:themeColor="accent1" w:themeShade="BF"/>
          <w:sz w:val="20"/>
          <w:szCs w:val="20"/>
        </w:rPr>
        <w:t>*</w:t>
      </w:r>
      <w:r>
        <w:rPr>
          <w:rFonts w:ascii="Arial Narrow" w:hAnsi="Arial Narrow" w:cs="Calibri"/>
          <w:sz w:val="20"/>
          <w:szCs w:val="20"/>
        </w:rPr>
        <w:t xml:space="preserve">Millennials - “Born: 1981 to 1996” </w:t>
      </w:r>
      <w:r>
        <w:rPr>
          <w:bCs/>
          <w:sz w:val="20"/>
          <w:szCs w:val="20"/>
        </w:rPr>
        <w:t>- Unit 3 Exam uses the specifics to the left. The Learning Quiz has the close m</w:t>
      </w:r>
      <w:r>
        <w:rPr>
          <w:bCs/>
          <w:sz w:val="20"/>
          <w:szCs w:val="20"/>
        </w:rPr>
        <w:t>eaning but currently says “a person born in the 1980s or 1990s,” but Pew Research’s numbers make a clearer end to this cohort.</w:t>
      </w: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Each of the last 3 cohorts have a long range of time. For an example, see the rows for a Millennial born in 1981 and one born in</w:t>
      </w:r>
      <w:r>
        <w:rPr>
          <w:rFonts w:ascii="Arial Narrow" w:hAnsi="Arial Narrow" w:cs="Calibri"/>
          <w:sz w:val="20"/>
          <w:szCs w:val="20"/>
        </w:rPr>
        <w:t xml:space="preserve"> 1996. </w:t>
      </w: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As far as domestic issues go in the period from 1950 to 2000, you don’t have to memorize. You can understand a lot by the age of the baby boomer—entertainment, whether they are having kids, getting out of college, looking for a job, considering re</w:t>
      </w:r>
      <w:r>
        <w:rPr>
          <w:rFonts w:ascii="Arial Narrow" w:hAnsi="Arial Narrow" w:cs="Calibri"/>
          <w:sz w:val="20"/>
          <w:szCs w:val="20"/>
        </w:rPr>
        <w:t xml:space="preserve">tirement or a second career.  The numbers on the national debt in each of the years are from the prior textbook, Ayers </w:t>
      </w:r>
      <w:r>
        <w:rPr>
          <w:rFonts w:ascii="Arial Narrow" w:hAnsi="Arial Narrow" w:cs="Calibri"/>
          <w:i/>
          <w:sz w:val="20"/>
          <w:szCs w:val="20"/>
        </w:rPr>
        <w:t>American Passages</w:t>
      </w:r>
      <w:r>
        <w:rPr>
          <w:rFonts w:ascii="Arial Narrow" w:hAnsi="Arial Narrow" w:cs="Calibri"/>
          <w:sz w:val="20"/>
          <w:szCs w:val="20"/>
        </w:rPr>
        <w:t>.</w:t>
      </w:r>
    </w:p>
    <w:p w:rsidR="00000000" w:rsidRDefault="00C33135">
      <w:pPr>
        <w:spacing w:after="0" w:line="240" w:lineRule="auto"/>
        <w:contextualSpacing/>
        <w:rPr>
          <w:rFonts w:ascii="Arial Narrow" w:hAnsi="Arial Narrow" w:cs="Calibri"/>
          <w:sz w:val="20"/>
          <w:szCs w:val="20"/>
        </w:rPr>
      </w:pPr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7"/>
        <w:gridCol w:w="1768"/>
        <w:gridCol w:w="1890"/>
        <w:gridCol w:w="2160"/>
        <w:gridCol w:w="2340"/>
        <w:gridCol w:w="1800"/>
        <w:gridCol w:w="1710"/>
        <w:gridCol w:w="1740"/>
      </w:tblGrid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Issue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1950s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1960s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1970s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1980s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1990s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2000-2008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00000" w:rsidRDefault="00C331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2008-2017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National Debt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Deficit 5 of 8 years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1968 -$25 B – </w:t>
            </w:r>
            <w:r>
              <w:rPr>
                <w:sz w:val="18"/>
              </w:rPr>
              <w:t>largest since WWII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$74 B – end of Nixon and Carter</w:t>
            </w: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1971-wage freeze; off gold standard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ebdings" w:char="F035"/>
            </w:r>
            <w:r>
              <w:rPr>
                <w:sz w:val="18"/>
              </w:rPr>
              <w:t xml:space="preserve">              </w:t>
            </w:r>
            <w:r>
              <w:rPr>
                <w:sz w:val="18"/>
              </w:rPr>
              <w:sym w:font="Webdings" w:char="F035"/>
            </w: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hd w:val="clear" w:color="auto" w:fill="FFCC00"/>
              </w:rPr>
              <w:t xml:space="preserve">$186B </w:t>
            </w:r>
            <w:r>
              <w:rPr>
                <w:sz w:val="18"/>
              </w:rPr>
              <w:t xml:space="preserve">  $</w:t>
            </w:r>
            <w:r>
              <w:rPr>
                <w:sz w:val="18"/>
                <w:shd w:val="clear" w:color="auto" w:fill="FFCC00"/>
              </w:rPr>
              <w:t>186B–and climbing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For the 1990s, see table below and its colors for Presidents.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  <w:vertAlign w:val="superscript"/>
              </w:rPr>
            </w:pPr>
            <w:r>
              <w:rPr>
                <w:rStyle w:val="EndnoteReference"/>
                <w:sz w:val="18"/>
              </w:rPr>
              <w:endnoteReference w:id="2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1952-1956, 1956-1960 Dwight D. Eisenhower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1960-1963 John F. Kennedy</w:t>
            </w: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1963-1964, 1964-1968 L.B. Johnson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1968-1972, 1972-08/1974 R.M. Nixon; 08/1974-1976 Gerald Ford; </w:t>
            </w:r>
            <w:r>
              <w:rPr>
                <w:sz w:val="18"/>
              </w:rPr>
              <w:br/>
              <w:t>1976-1980 Jimmy Carter-stagflation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hd w:val="clear" w:color="auto" w:fill="FFCC00"/>
              </w:rPr>
              <w:t>1980-1984, 1984-1988</w:t>
            </w:r>
            <w:r>
              <w:rPr>
                <w:sz w:val="18"/>
              </w:rPr>
              <w:t xml:space="preserve"> Ronald Reagan –lowers taxes in “supply side” theory</w:t>
            </w:r>
            <w:r>
              <w:rPr>
                <w:rStyle w:val="EndnoteReference"/>
                <w:sz w:val="18"/>
              </w:rPr>
              <w:endnoteReference w:id="3"/>
            </w:r>
          </w:p>
          <w:p w:rsidR="00000000" w:rsidRDefault="00C33135">
            <w:pPr>
              <w:spacing w:after="0" w:line="240" w:lineRule="auto"/>
              <w:rPr>
                <w:sz w:val="4"/>
                <w:szCs w:val="4"/>
              </w:rPr>
            </w:pP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hd w:val="clear" w:color="auto" w:fill="FF9900"/>
              </w:rPr>
              <w:t>1988-1992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George H. Bush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hd w:val="clear" w:color="auto" w:fill="FF9900"/>
              </w:rPr>
              <w:t>1990-1992</w:t>
            </w:r>
            <w:r>
              <w:rPr>
                <w:sz w:val="18"/>
              </w:rPr>
              <w:t xml:space="preserve"> – George H. Bush</w:t>
            </w: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</w:p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hd w:val="clear" w:color="auto" w:fill="66FF33"/>
              </w:rPr>
              <w:t xml:space="preserve">1992-1996, </w:t>
            </w:r>
            <w:r>
              <w:rPr>
                <w:sz w:val="18"/>
                <w:shd w:val="clear" w:color="auto" w:fill="33CC33"/>
              </w:rPr>
              <w:t xml:space="preserve">1996-2000 </w:t>
            </w:r>
            <w:r>
              <w:rPr>
                <w:sz w:val="18"/>
              </w:rPr>
              <w:t>William Clinton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2000-2004, 2004-2008 George W. Bush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2008-2012, 2012-2016 – Barack Obama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If born in 1945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Baby Boomer</w:t>
            </w:r>
            <w:r>
              <w:rPr>
                <w:sz w:val="18"/>
              </w:rPr>
              <w:t xml:space="preserve"> is 5 years of age in 1950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 years of age in 1960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 years of age in 1970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35 years of age in 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45 years of age in 1990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55 years of age in 2000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65 years of age in 2010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If born in 1965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Gen Xer</w:t>
            </w:r>
            <w:r>
              <w:rPr>
                <w:sz w:val="18"/>
              </w:rPr>
              <w:t xml:space="preserve">  is 5 years of age in 1970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 years of age in 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 years of age in 1990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35 years of age in 2000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45 years of age in 2010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If born in 1981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Millennia</w:t>
            </w:r>
            <w:r>
              <w:rPr>
                <w:sz w:val="18"/>
              </w:rPr>
              <w:t>l is 5 years of age in 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 years of age in 1996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25 years of age in 2006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35 years of age in 2016</w:t>
            </w:r>
          </w:p>
        </w:tc>
      </w:tr>
      <w:tr w:rsidR="000000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If born in 1996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Millennia</w:t>
            </w:r>
            <w:r>
              <w:rPr>
                <w:sz w:val="18"/>
              </w:rPr>
              <w:t>l is 5 years of age in 2001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15 years of age in 2011</w:t>
            </w:r>
          </w:p>
        </w:tc>
      </w:tr>
    </w:tbl>
    <w:p w:rsidR="00000000" w:rsidRDefault="00C33135">
      <w:pPr>
        <w:spacing w:after="0" w:line="240" w:lineRule="auto"/>
        <w:ind w:left="7920"/>
        <w:rPr>
          <w:sz w:val="18"/>
        </w:rPr>
      </w:pPr>
      <w:r>
        <w:rPr>
          <w:b/>
          <w:sz w:val="18"/>
        </w:rPr>
        <w:t>Details about the 1990-</w:t>
      </w:r>
      <w:proofErr w:type="gramStart"/>
      <w:r>
        <w:rPr>
          <w:b/>
          <w:sz w:val="18"/>
        </w:rPr>
        <w:t xml:space="preserve">1997 </w:t>
      </w:r>
      <w:r>
        <w:rPr>
          <w:sz w:val="18"/>
        </w:rPr>
        <w:t xml:space="preserve"> The</w:t>
      </w:r>
      <w:proofErr w:type="gramEnd"/>
      <w:r>
        <w:rPr>
          <w:sz w:val="18"/>
        </w:rPr>
        <w:t xml:space="preserve"> reducti</w:t>
      </w:r>
      <w:r>
        <w:rPr>
          <w:sz w:val="18"/>
        </w:rPr>
        <w:t xml:space="preserve">on in debt was </w:t>
      </w:r>
      <w:r>
        <w:rPr>
          <w:b/>
          <w:sz w:val="18"/>
        </w:rPr>
        <w:t>bipartisan</w:t>
      </w:r>
      <w:r>
        <w:rPr>
          <w:sz w:val="18"/>
        </w:rPr>
        <w:t>—Republicans and Democrats worked together.</w:t>
      </w:r>
      <w:r>
        <w:rPr>
          <w:sz w:val="18"/>
        </w:rPr>
        <w:br/>
      </w:r>
      <w:r>
        <w:rPr>
          <w:sz w:val="18"/>
          <w:shd w:val="clear" w:color="auto" w:fill="FFCC00"/>
        </w:rPr>
        <w:t>Light orange</w:t>
      </w:r>
      <w:r>
        <w:rPr>
          <w:sz w:val="18"/>
        </w:rPr>
        <w:t xml:space="preserve"> = Starts with Reagan</w:t>
      </w:r>
      <w:r>
        <w:rPr>
          <w:sz w:val="18"/>
        </w:rPr>
        <w:br/>
      </w:r>
      <w:r>
        <w:rPr>
          <w:sz w:val="18"/>
          <w:shd w:val="clear" w:color="auto" w:fill="FF9900"/>
        </w:rPr>
        <w:t>Dark orange</w:t>
      </w:r>
      <w:r>
        <w:rPr>
          <w:b/>
          <w:sz w:val="18"/>
        </w:rPr>
        <w:t xml:space="preserve"> = </w:t>
      </w:r>
      <w:r>
        <w:rPr>
          <w:sz w:val="18"/>
        </w:rPr>
        <w:t>Blows up in G.H. Bush</w:t>
      </w:r>
      <w:r>
        <w:rPr>
          <w:sz w:val="18"/>
        </w:rPr>
        <w:br/>
      </w:r>
      <w:r>
        <w:rPr>
          <w:sz w:val="18"/>
          <w:shd w:val="clear" w:color="auto" w:fill="99FF66"/>
        </w:rPr>
        <w:t xml:space="preserve">Green </w:t>
      </w:r>
      <w:r>
        <w:rPr>
          <w:sz w:val="18"/>
        </w:rPr>
        <w:t>= lowers 1992-1996</w:t>
      </w:r>
    </w:p>
    <w:p w:rsidR="00000000" w:rsidRDefault="00C33135">
      <w:pPr>
        <w:spacing w:after="0" w:line="240" w:lineRule="auto"/>
        <w:ind w:left="7920"/>
        <w:rPr>
          <w:sz w:val="18"/>
        </w:rPr>
      </w:pPr>
      <w:r>
        <w:rPr>
          <w:sz w:val="18"/>
          <w:shd w:val="clear" w:color="auto" w:fill="33CC33"/>
        </w:rPr>
        <w:t xml:space="preserve">Green </w:t>
      </w:r>
      <w:r>
        <w:rPr>
          <w:sz w:val="18"/>
        </w:rPr>
        <w:t>= lowers further 1996-2000</w:t>
      </w:r>
    </w:p>
    <w:tbl>
      <w:tblPr>
        <w:tblW w:w="0" w:type="auto"/>
        <w:tblInd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32"/>
        <w:gridCol w:w="459"/>
        <w:gridCol w:w="459"/>
        <w:gridCol w:w="459"/>
        <w:gridCol w:w="453"/>
      </w:tblGrid>
      <w:tr w:rsidR="00000000">
        <w:trPr>
          <w:cantSplit/>
          <w:trHeight w:val="8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FF9900"/>
              </w:rPr>
              <w:t>$222B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CC3300"/>
              </w:rPr>
              <w:t>$297B</w:t>
            </w:r>
            <w:r>
              <w:rPr>
                <w:color w:val="FFFFFF"/>
                <w:sz w:val="18"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99FF66"/>
              </w:rPr>
              <w:t>$255B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66FF33"/>
              </w:rPr>
              <w:t>$203B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33CC33"/>
              </w:rPr>
              <w:t>$25B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000" w:rsidRDefault="00C33135">
            <w:pPr>
              <w:spacing w:after="0" w:line="240" w:lineRule="auto"/>
              <w:ind w:left="115" w:right="115"/>
              <w:contextualSpacing/>
              <w:rPr>
                <w:sz w:val="18"/>
                <w:shd w:val="clear" w:color="auto" w:fill="33CC33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FF9900"/>
              </w:rPr>
              <w:lastRenderedPageBreak/>
              <w:t>1990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FF9900"/>
              </w:rPr>
              <w:t>1992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99FF66"/>
              </w:rPr>
              <w:t>1993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66FF33"/>
              </w:rPr>
              <w:t>1994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</w:rPr>
            </w:pPr>
            <w:r>
              <w:rPr>
                <w:sz w:val="18"/>
                <w:shd w:val="clear" w:color="auto" w:fill="33CC33"/>
              </w:rPr>
              <w:t>1997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000" w:rsidRDefault="00C33135">
            <w:pPr>
              <w:spacing w:after="0"/>
              <w:ind w:left="115" w:right="115"/>
              <w:contextualSpacing/>
              <w:rPr>
                <w:sz w:val="18"/>
                <w:shd w:val="clear" w:color="auto" w:fill="33CC33"/>
              </w:rPr>
            </w:pPr>
          </w:p>
        </w:tc>
      </w:tr>
    </w:tbl>
    <w:p w:rsidR="00000000" w:rsidRDefault="00C33135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8694"/>
        <w:gridCol w:w="6534"/>
        <w:gridCol w:w="144"/>
      </w:tblGrid>
      <w:tr w:rsidR="00000000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000000" w:rsidRDefault="00C33135" w:rsidP="00F46A0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6"/>
              </w:rPr>
              <w:t>Copyright C. J. Bibus, Ed.D. 2003-20</w:t>
            </w:r>
            <w:r w:rsidR="00F46A06">
              <w:rPr>
                <w:sz w:val="16"/>
              </w:rPr>
              <w:t>21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322" w:type="dxa"/>
            <w:gridSpan w:val="2"/>
            <w:hideMark/>
          </w:tcPr>
          <w:p w:rsidR="00000000" w:rsidRDefault="00C33135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History – Dr. Bibus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322" w:type="dxa"/>
            <w:gridSpan w:val="2"/>
            <w:hideMark/>
          </w:tcPr>
          <w:p w:rsidR="00000000" w:rsidRDefault="00C33135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281.239.1577 or </w:t>
            </w:r>
            <w:hyperlink r:id="rId8" w:history="1">
              <w:r>
                <w:rPr>
                  <w:rStyle w:val="Hyperlink"/>
                  <w:sz w:val="18"/>
                </w:rPr>
                <w:t>bibusc@wcjc.edu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000000">
        <w:trPr>
          <w:gridAfter w:val="1"/>
          <w:wAfter w:w="18" w:type="dxa"/>
          <w:cantSplit/>
        </w:trPr>
        <w:tc>
          <w:tcPr>
            <w:tcW w:w="2322" w:type="dxa"/>
            <w:gridSpan w:val="2"/>
            <w:hideMark/>
          </w:tcPr>
          <w:p w:rsidR="00000000" w:rsidRDefault="00C33135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C33135" w:rsidP="00F46A0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F46A06">
              <w:rPr>
                <w:sz w:val="18"/>
              </w:rPr>
              <w:t>21</w:t>
            </w:r>
            <w:bookmarkStart w:id="0" w:name="_GoBack"/>
            <w:bookmarkEnd w:id="0"/>
          </w:p>
        </w:tc>
      </w:tr>
      <w:tr w:rsidR="00000000">
        <w:trPr>
          <w:gridAfter w:val="1"/>
          <w:wAfter w:w="18" w:type="dxa"/>
          <w:cantSplit/>
        </w:trPr>
        <w:tc>
          <w:tcPr>
            <w:tcW w:w="2322" w:type="dxa"/>
            <w:gridSpan w:val="2"/>
            <w:hideMark/>
          </w:tcPr>
          <w:p w:rsidR="00000000" w:rsidRDefault="00C33135">
            <w:pPr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C33135">
            <w:pPr>
              <w:spacing w:after="0" w:line="240" w:lineRule="auto"/>
              <w:rPr>
                <w:sz w:val="18"/>
              </w:rPr>
            </w:pPr>
            <w:hyperlink r:id="rId9" w:history="1">
              <w:r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C33135" w:rsidRDefault="00C33135">
      <w:pPr>
        <w:rPr>
          <w:rFonts w:ascii="Arial" w:hAnsi="Arial"/>
          <w:sz w:val="4"/>
          <w:szCs w:val="4"/>
        </w:rPr>
      </w:pPr>
    </w:p>
    <w:sectPr w:rsidR="00C33135">
      <w:endnotePr>
        <w:numFmt w:val="decimal"/>
      </w:endnotePr>
      <w:pgSz w:w="15840" w:h="12240" w:orient="landscape"/>
      <w:pgMar w:top="576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35" w:rsidRDefault="00C33135">
      <w:pPr>
        <w:spacing w:after="0" w:line="240" w:lineRule="auto"/>
      </w:pPr>
      <w:r>
        <w:separator/>
      </w:r>
    </w:p>
  </w:endnote>
  <w:endnote w:type="continuationSeparator" w:id="0">
    <w:p w:rsidR="00C33135" w:rsidRDefault="00C33135">
      <w:pPr>
        <w:spacing w:after="0" w:line="240" w:lineRule="auto"/>
      </w:pPr>
      <w:r>
        <w:continuationSeparator/>
      </w:r>
    </w:p>
  </w:endnote>
  <w:endnote w:id="1">
    <w:p w:rsidR="00000000" w:rsidRDefault="00C33135">
      <w:pPr>
        <w:pStyle w:val="EndnoteText"/>
      </w:pPr>
      <w:r>
        <w:rPr>
          <w:rStyle w:val="EndnoteReference"/>
        </w:rPr>
        <w:endnoteRef/>
      </w:r>
      <w:r>
        <w:t xml:space="preserve"> The age ranges for these cohorts are from this article from Pew Research: </w:t>
      </w:r>
      <w:hyperlink r:id="rId1" w:history="1">
        <w:r>
          <w:rPr>
            <w:rStyle w:val="Hyperlink"/>
          </w:rPr>
          <w:t>http://www.pew</w:t>
        </w:r>
        <w:r>
          <w:rPr>
            <w:rStyle w:val="Hyperlink"/>
          </w:rPr>
          <w:t>research.org/fact-tank/</w:t>
        </w:r>
        <w:r>
          <w:rPr>
            <w:rStyle w:val="Hyperlink"/>
          </w:rPr>
          <w:t>2018</w:t>
        </w:r>
        <w:r>
          <w:rPr>
            <w:rStyle w:val="Hyperlink"/>
          </w:rPr>
          <w:t>/04/25/millennials-overtake-baby-boomers/</w:t>
        </w:r>
      </w:hyperlink>
    </w:p>
  </w:endnote>
  <w:endnote w:id="2">
    <w:p w:rsidR="00000000" w:rsidRDefault="00C33135">
      <w:pPr>
        <w:pStyle w:val="EndnoteText"/>
      </w:pPr>
      <w:r>
        <w:rPr>
          <w:rStyle w:val="EndnoteReference"/>
        </w:rPr>
        <w:endnoteRef/>
      </w:r>
      <w:r>
        <w:t xml:space="preserve"> The national debt is not specified in the section on the Bush term of 2000-2008, when the TARP crisis occurred. The general statement made about 2000-2008 is that George W. Bush “</w:t>
      </w:r>
      <w:r>
        <w:rPr>
          <w:szCs w:val="24"/>
          <w:shd w:val="clear" w:color="auto" w:fill="FF9900"/>
        </w:rPr>
        <w:t>pushed</w:t>
      </w:r>
      <w:r>
        <w:rPr>
          <w:szCs w:val="24"/>
          <w:shd w:val="clear" w:color="auto" w:fill="FF9900"/>
        </w:rPr>
        <w:t xml:space="preserve"> through Congress a series of tax </w:t>
      </w:r>
      <w:proofErr w:type="gramStart"/>
      <w:r>
        <w:rPr>
          <w:szCs w:val="24"/>
          <w:shd w:val="clear" w:color="auto" w:fill="FF9900"/>
        </w:rPr>
        <w:t>cuts, that,</w:t>
      </w:r>
      <w:proofErr w:type="gramEnd"/>
      <w:r>
        <w:rPr>
          <w:szCs w:val="24"/>
          <w:shd w:val="clear" w:color="auto" w:fill="FF9900"/>
        </w:rPr>
        <w:t xml:space="preserve"> the White House said, were designed to assist the struggling economy. The budget surplus of the 1990s soon disappeared as a brief recession followed the end of the dot-com bubble. Record debt became one continu</w:t>
      </w:r>
      <w:r>
        <w:rPr>
          <w:szCs w:val="24"/>
          <w:shd w:val="clear" w:color="auto" w:fill="FF9900"/>
        </w:rPr>
        <w:t xml:space="preserve">ing legacy of the Bush era.” (Ayers, </w:t>
      </w:r>
      <w:r>
        <w:rPr>
          <w:i/>
          <w:szCs w:val="24"/>
          <w:shd w:val="clear" w:color="auto" w:fill="FF9900"/>
        </w:rPr>
        <w:t>American Passages</w:t>
      </w:r>
      <w:r>
        <w:rPr>
          <w:szCs w:val="24"/>
          <w:shd w:val="clear" w:color="auto" w:fill="FF9900"/>
        </w:rPr>
        <w:t>, page 872).</w:t>
      </w:r>
    </w:p>
  </w:endnote>
  <w:endnote w:id="3">
    <w:p w:rsidR="00000000" w:rsidRDefault="00C33135">
      <w:pPr>
        <w:pStyle w:val="EndnoteText"/>
      </w:pPr>
      <w:r>
        <w:rPr>
          <w:rStyle w:val="EndnoteReference"/>
        </w:rPr>
        <w:endnoteRef/>
      </w:r>
      <w:r>
        <w:t xml:space="preserve"> Shi and Tindall, </w:t>
      </w:r>
      <w:r>
        <w:rPr>
          <w:i/>
        </w:rPr>
        <w:t>America</w:t>
      </w:r>
      <w:r>
        <w:t>, pages 1104-1106.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35" w:rsidRDefault="00C33135">
      <w:pPr>
        <w:spacing w:after="0" w:line="240" w:lineRule="auto"/>
      </w:pPr>
      <w:r>
        <w:separator/>
      </w:r>
    </w:p>
  </w:footnote>
  <w:footnote w:type="continuationSeparator" w:id="0">
    <w:p w:rsidR="00C33135" w:rsidRDefault="00C3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96B56"/>
    <w:multiLevelType w:val="hybridMultilevel"/>
    <w:tmpl w:val="21A0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3"/>
    <w:rsid w:val="00367BF8"/>
    <w:rsid w:val="00A03227"/>
    <w:rsid w:val="00B96513"/>
    <w:rsid w:val="00C33135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E171-A0EB-45D8-A9B5-76AA384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wresearch.org/fact-tank/2016/04/25/millennials-overtake-baby-boome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EEAE-6EF4-4E6C-A4E2-E91464E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Cohort information and changes in our national debt – They both shift a lot in U</vt:lpstr>
    </vt:vector>
  </TitlesOfParts>
  <Company>Wharton County Junior College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2016-11-06T16:46:00Z</cp:lastPrinted>
  <dcterms:created xsi:type="dcterms:W3CDTF">2021-04-24T22:46:00Z</dcterms:created>
  <dcterms:modified xsi:type="dcterms:W3CDTF">2021-04-24T22:48:00Z</dcterms:modified>
</cp:coreProperties>
</file>