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9E4101" w:rsidP="00703317">
      <w:pPr>
        <w:pStyle w:val="Heading1"/>
        <w:spacing w:before="0"/>
        <w:jc w:val="center"/>
        <w:rPr>
          <w:rFonts w:eastAsia="Calibri"/>
        </w:rPr>
      </w:pPr>
      <w:r w:rsidRPr="004A49F5">
        <w:rPr>
          <w:rFonts w:eastAsia="Calibri"/>
        </w:rPr>
        <w:t xml:space="preserve">Unit 1: Creating a </w:t>
      </w:r>
      <w:r w:rsidRPr="009E4101">
        <w:t>New</w:t>
      </w:r>
      <w:r w:rsidRPr="004A49F5">
        <w:rPr>
          <w:rFonts w:eastAsia="Calibri"/>
        </w:rPr>
        <w:t xml:space="preserve"> America from 186</w:t>
      </w:r>
      <w:bookmarkStart w:id="0" w:name="_GoBack"/>
      <w:bookmarkEnd w:id="0"/>
      <w:r w:rsidRPr="004A49F5">
        <w:rPr>
          <w:rFonts w:eastAsia="Calibri"/>
        </w:rPr>
        <w:t>0 to 1913</w:t>
      </w:r>
      <w:r>
        <w:rPr>
          <w:rFonts w:eastAsia="Calibri"/>
        </w:rPr>
        <w:t xml:space="preserve"> </w:t>
      </w:r>
      <w:r w:rsidR="001D752C">
        <w:rPr>
          <w:rFonts w:eastAsia="Calibri"/>
        </w:rPr>
        <w:t>(Chapters 1</w:t>
      </w:r>
      <w:r>
        <w:rPr>
          <w:rFonts w:eastAsia="Calibri"/>
        </w:rPr>
        <w:t>6-19</w:t>
      </w:r>
      <w:r w:rsidR="001D752C">
        <w:rPr>
          <w:rFonts w:eastAsia="Calibri"/>
        </w:rPr>
        <w:t>)</w:t>
      </w:r>
    </w:p>
    <w:p w:rsidR="002D6842" w:rsidRDefault="002D6842" w:rsidP="00703317">
      <w:pPr>
        <w:pStyle w:val="Heading2"/>
        <w:spacing w:before="60"/>
        <w:jc w:val="center"/>
      </w:pPr>
      <w:r>
        <w:rPr>
          <w:rFonts w:eastAsia="Calibri"/>
        </w:rPr>
        <w:t>S</w:t>
      </w:r>
      <w:r>
        <w:t>tudy Guide</w:t>
      </w:r>
    </w:p>
    <w:p w:rsidR="005B7D2E" w:rsidRDefault="002D6842" w:rsidP="002D6842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Unit 1 consists of Chapters </w:t>
      </w:r>
      <w:r w:rsidR="009E4101">
        <w:rPr>
          <w:sz w:val="18"/>
          <w:szCs w:val="18"/>
        </w:rPr>
        <w:t>16-19</w:t>
      </w:r>
      <w:r w:rsidR="005B7D2E">
        <w:rPr>
          <w:sz w:val="18"/>
          <w:szCs w:val="18"/>
        </w:rPr>
        <w:t xml:space="preserve">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proofErr w:type="spellStart"/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</w:t>
      </w:r>
      <w:proofErr w:type="spellEnd"/>
      <w:r w:rsidRPr="00AB55FB">
        <w:rPr>
          <w:sz w:val="18"/>
          <w:szCs w:val="18"/>
        </w:rPr>
        <w:t xml:space="preserve">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Instructor’s links </w:t>
      </w:r>
      <w:r>
        <w:rPr>
          <w:sz w:val="18"/>
          <w:szCs w:val="18"/>
        </w:rPr>
        <w:t>provide visuals, usually in tables, that let you compare information so you can quickly s</w:t>
      </w:r>
      <w:r w:rsidR="004E2F92">
        <w:rPr>
          <w:sz w:val="18"/>
          <w:szCs w:val="18"/>
        </w:rPr>
        <w:t>ee similarities and differences</w:t>
      </w:r>
      <w:r>
        <w:rPr>
          <w:sz w:val="18"/>
          <w:szCs w:val="18"/>
        </w:rPr>
        <w:t xml:space="preserve"> (such as items 28-31)</w:t>
      </w:r>
      <w:r w:rsidR="004E2F92">
        <w:rPr>
          <w:sz w:val="18"/>
          <w:szCs w:val="18"/>
        </w:rPr>
        <w:t>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868"/>
      </w:tblGrid>
      <w:tr w:rsidR="00F46C0E" w:rsidRPr="00AB55FB" w:rsidTr="002514F9">
        <w:tc>
          <w:tcPr>
            <w:tcW w:w="5310" w:type="dxa"/>
          </w:tcPr>
          <w:p w:rsidR="003F5C4E" w:rsidRPr="003F5C4E" w:rsidRDefault="003F5C4E" w:rsidP="003F5C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background on the future</w:t>
            </w:r>
          </w:p>
          <w:p w:rsidR="00F46C0E" w:rsidRDefault="003F5C4E" w:rsidP="002514F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3F5C4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</w:t>
            </w:r>
          </w:p>
          <w:p w:rsidR="001956E0" w:rsidRDefault="001956E0" w:rsidP="002514F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Defeat of the South, but Andrew Johnson</w:t>
            </w:r>
          </w:p>
          <w:p w:rsidR="003F5C4E" w:rsidRDefault="003F5C4E" w:rsidP="002514F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 black codes and race riots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“due process” and states </w:t>
            </w:r>
            <w:r>
              <w:rPr>
                <w:rFonts w:cs="Arial"/>
                <w:sz w:val="18"/>
                <w:szCs w:val="18"/>
              </w:rPr>
              <w:br/>
              <w:t>- 1</w:t>
            </w:r>
            <w:r w:rsidRPr="003F5C4E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as Civil Right Act</w:t>
            </w:r>
            <w:r>
              <w:rPr>
                <w:rFonts w:cs="Arial"/>
                <w:sz w:val="18"/>
                <w:szCs w:val="18"/>
              </w:rPr>
              <w:br/>
              <w:t>- 2</w:t>
            </w:r>
            <w:r w:rsidRPr="003F5C4E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as 14</w:t>
            </w:r>
            <w:r w:rsidRPr="003F5C4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Citizenship and the 14</w:t>
            </w:r>
            <w:r w:rsidRPr="003F5C4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</w:t>
            </w:r>
            <w:r>
              <w:rPr>
                <w:rFonts w:cs="Arial"/>
                <w:sz w:val="18"/>
                <w:szCs w:val="18"/>
              </w:rPr>
              <w:br/>
              <w:t>- and why necessary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Civil Rights Act of 1873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Supreme Court on that case</w:t>
            </w:r>
          </w:p>
          <w:p w:rsidR="00327393" w:rsidRDefault="00327393" w:rsidP="00327393">
            <w:pPr>
              <w:rPr>
                <w:rFonts w:cs="Arial"/>
                <w:sz w:val="18"/>
                <w:szCs w:val="18"/>
              </w:rPr>
            </w:pPr>
          </w:p>
          <w:p w:rsidR="00327393" w:rsidRPr="00327393" w:rsidRDefault="00327393" w:rsidP="0032739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Events in the Gilded Age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Attributes of Gilded Age – child labor, urban growth, electricity and consequences on industry and cities, resources in the US (power, natural resources), and immigration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Robber Barons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Rockefeller and his industry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Carnegie and his industry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Horizontal integration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Vertical integration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Trust</w:t>
            </w:r>
          </w:p>
          <w:p w:rsidR="003F5C4E" w:rsidRDefault="00971052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Sherman Anti-T</w:t>
            </w:r>
            <w:r w:rsidR="003F5C4E">
              <w:rPr>
                <w:rFonts w:cs="Arial"/>
                <w:sz w:val="18"/>
                <w:szCs w:val="18"/>
              </w:rPr>
              <w:t>rust</w:t>
            </w:r>
            <w:r>
              <w:rPr>
                <w:rFonts w:cs="Arial"/>
                <w:sz w:val="18"/>
                <w:szCs w:val="18"/>
              </w:rPr>
              <w:t xml:space="preserve"> Act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Financial capitalism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J.P. Morgan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F5C4E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billion dollar corporation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Republican party</w:t>
            </w:r>
            <w:r w:rsidR="00971052">
              <w:rPr>
                <w:rFonts w:cs="Arial"/>
                <w:sz w:val="18"/>
                <w:szCs w:val="18"/>
              </w:rPr>
              <w:t>, early years of Gilded Age</w:t>
            </w:r>
            <w:r>
              <w:rPr>
                <w:rFonts w:cs="Arial"/>
                <w:sz w:val="18"/>
                <w:szCs w:val="18"/>
              </w:rPr>
              <w:t xml:space="preserve"> – pro-business, pro-protective tariff, lobbying of, bribing of</w:t>
            </w:r>
            <w:r w:rsidR="00971052">
              <w:rPr>
                <w:rFonts w:cs="Arial"/>
                <w:sz w:val="18"/>
                <w:szCs w:val="18"/>
              </w:rPr>
              <w:t>, “sound money”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and West farmers, anti-protective tariff since sell in free market and buy in protected one (what’s the consequence?)</w:t>
            </w:r>
          </w:p>
          <w:p w:rsidR="003F5C4E" w:rsidRDefault="003F5C4E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Average work week for laborers</w:t>
            </w:r>
          </w:p>
          <w:p w:rsidR="003F5C4E" w:rsidRDefault="0038300D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Policy about men and women, skilled and unskilled, immigrants, white citizens, African American citizens, anarchism by:</w:t>
            </w:r>
            <w:r>
              <w:rPr>
                <w:rFonts w:cs="Arial"/>
                <w:sz w:val="18"/>
                <w:szCs w:val="18"/>
              </w:rPr>
              <w:br/>
              <w:t>-  American Federation of Labor</w:t>
            </w:r>
            <w:r>
              <w:rPr>
                <w:rFonts w:cs="Arial"/>
                <w:sz w:val="18"/>
                <w:szCs w:val="18"/>
              </w:rPr>
              <w:br/>
              <w:t>-  Knights of Labor</w:t>
            </w:r>
          </w:p>
          <w:p w:rsidR="0038300D" w:rsidRDefault="0038300D" w:rsidP="003F5C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Western settlement and government </w:t>
            </w:r>
            <w:r w:rsidR="00327393">
              <w:rPr>
                <w:rFonts w:cs="Arial"/>
                <w:sz w:val="18"/>
                <w:szCs w:val="18"/>
              </w:rPr>
              <w:t xml:space="preserve">support </w:t>
            </w:r>
            <w:r>
              <w:rPr>
                <w:rFonts w:cs="Arial"/>
                <w:sz w:val="18"/>
                <w:szCs w:val="18"/>
              </w:rPr>
              <w:t>(reminder: transcendental railroad, mili</w:t>
            </w:r>
            <w:r w:rsidR="00971052">
              <w:rPr>
                <w:rFonts w:cs="Arial"/>
                <w:sz w:val="18"/>
                <w:szCs w:val="18"/>
              </w:rPr>
              <w:t>tary, and these Indian policies</w:t>
            </w:r>
            <w:proofErr w:type="gramStart"/>
            <w:r w:rsidR="00971052">
              <w:rPr>
                <w:rFonts w:cs="Arial"/>
                <w:sz w:val="18"/>
                <w:szCs w:val="18"/>
              </w:rPr>
              <w:t>:</w:t>
            </w:r>
            <w:proofErr w:type="gramEnd"/>
            <w:r>
              <w:rPr>
                <w:rFonts w:cs="Arial"/>
                <w:sz w:val="18"/>
                <w:szCs w:val="18"/>
              </w:rPr>
              <w:br/>
              <w:t>- Grant era – Indian Peace Commission and reservations</w:t>
            </w:r>
            <w:r>
              <w:rPr>
                <w:rFonts w:cs="Arial"/>
                <w:sz w:val="18"/>
                <w:szCs w:val="18"/>
              </w:rPr>
              <w:br/>
              <w:t>- 188</w:t>
            </w:r>
            <w:r w:rsidR="00327393">
              <w:rPr>
                <w:rFonts w:cs="Arial"/>
                <w:sz w:val="18"/>
                <w:szCs w:val="18"/>
              </w:rPr>
              <w:t>7 – Dawes Severalty Act and subdividing their lands into small farms (of poor land) and selling the rest to whites.</w:t>
            </w:r>
          </w:p>
          <w:p w:rsidR="00206B63" w:rsidRDefault="00206B63" w:rsidP="00206B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Crop-lien system, results of</w:t>
            </w:r>
          </w:p>
          <w:p w:rsidR="00206B63" w:rsidRDefault="00206B63" w:rsidP="00206B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Traits of segregation in the South after 1880</w:t>
            </w:r>
          </w:p>
          <w:p w:rsidR="00206B63" w:rsidRPr="00206B63" w:rsidRDefault="00206B63" w:rsidP="00206B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Willington Insurrection - before, during, and after – Note: McKinley’s response to the blacks’ appeal for help</w:t>
            </w:r>
          </w:p>
        </w:tc>
        <w:tc>
          <w:tcPr>
            <w:tcW w:w="5868" w:type="dxa"/>
          </w:tcPr>
          <w:p w:rsidR="00206B63" w:rsidRDefault="00206B63" w:rsidP="00206B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Policies about Chinese, ban on immigration</w:t>
            </w:r>
          </w:p>
          <w:p w:rsidR="00327393" w:rsidRDefault="00327393" w:rsidP="002514F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 E. B. Du Bois – views, “ceaseless agitation,” NAACP founder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B. T. Washington, views, statements at the Atlantic Compromise.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Urban life – tenements, diseases and the new field of Public Health (See the primaries in Chapter 18.), urban transportation (cable cars, elevated cars, trolleys, etc.)</w:t>
            </w:r>
          </w:p>
          <w:p w:rsidR="00971052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Charles Darwin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Social Gospel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Social Darwinism (</w:t>
            </w:r>
            <w:r w:rsidRPr="00971052">
              <w:rPr>
                <w:rFonts w:cs="Arial"/>
                <w:b/>
                <w:sz w:val="18"/>
                <w:szCs w:val="18"/>
              </w:rPr>
              <w:t>not</w:t>
            </w:r>
            <w:r>
              <w:rPr>
                <w:rFonts w:cs="Arial"/>
                <w:sz w:val="18"/>
                <w:szCs w:val="18"/>
              </w:rPr>
              <w:t xml:space="preserve"> Charles Darwin</w:t>
            </w:r>
            <w:r w:rsidR="00971052">
              <w:rPr>
                <w:rFonts w:cs="Arial"/>
                <w:sz w:val="18"/>
                <w:szCs w:val="18"/>
              </w:rPr>
              <w:t>’s ideas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br/>
              <w:t>- Herbert Spenser</w:t>
            </w:r>
            <w:r>
              <w:rPr>
                <w:rFonts w:cs="Arial"/>
                <w:sz w:val="18"/>
                <w:szCs w:val="18"/>
              </w:rPr>
              <w:br/>
              <w:t>- survival of the fittest</w:t>
            </w:r>
          </w:p>
          <w:p w:rsidR="00327393" w:rsidRDefault="00971052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327393">
              <w:rPr>
                <w:rFonts w:cs="Arial"/>
                <w:sz w:val="18"/>
                <w:szCs w:val="18"/>
              </w:rPr>
              <w:t>“new immigration” – religions and locations in Europe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Revival of nativism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Gilded Age government (corporate-dominated, bribery, bossism in city government)</w:t>
            </w:r>
          </w:p>
          <w:p w:rsidR="00971052" w:rsidRDefault="00971052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Populists, beginnings as Grangers and Granger laws and Farmers Alliance (in South and West), </w:t>
            </w:r>
            <w:r w:rsidRPr="00971052">
              <w:rPr>
                <w:rFonts w:cs="Arial"/>
                <w:b/>
                <w:sz w:val="18"/>
                <w:szCs w:val="18"/>
              </w:rPr>
              <w:t xml:space="preserve">state </w:t>
            </w:r>
            <w:r>
              <w:rPr>
                <w:rFonts w:cs="Arial"/>
                <w:sz w:val="18"/>
                <w:szCs w:val="18"/>
              </w:rPr>
              <w:t>laws about railroads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Interstate Commerce Act</w:t>
            </w:r>
          </w:p>
          <w:p w:rsidR="00327393" w:rsidRDefault="00327393" w:rsidP="0032739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Pendleton Civil Service Act – and Garfield and spoils system </w:t>
            </w:r>
          </w:p>
          <w:p w:rsidR="00971052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Republican Party, “sound money” as opposition to Populists</w:t>
            </w:r>
          </w:p>
          <w:p w:rsidR="00971052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Election of 1892, regions and races supporting Populists</w:t>
            </w:r>
          </w:p>
          <w:p w:rsidR="00971052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Election of 1892, success of Populists as a 3</w:t>
            </w:r>
            <w:r w:rsidRPr="00971052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party</w:t>
            </w:r>
          </w:p>
          <w:p w:rsidR="00971052" w:rsidRPr="00971052" w:rsidRDefault="0013722A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Election of 1896, Republicans’ methods (Mark Hanna), Democrats’ “dark horse” W.J. Bryan, and the Cross of Gold Speech</w:t>
            </w:r>
          </w:p>
          <w:p w:rsidR="00971052" w:rsidRPr="003F5C4E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i/>
                <w:sz w:val="18"/>
                <w:szCs w:val="18"/>
              </w:rPr>
            </w:pPr>
            <w:r w:rsidRPr="003F5C4E">
              <w:rPr>
                <w:rFonts w:cs="Arial"/>
                <w:i/>
                <w:sz w:val="18"/>
                <w:szCs w:val="18"/>
              </w:rPr>
              <w:t>Plessy vs. Ferguson</w:t>
            </w:r>
          </w:p>
          <w:p w:rsidR="00971052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Supreme Court on that case</w:t>
            </w:r>
          </w:p>
          <w:p w:rsidR="00971052" w:rsidRDefault="00971052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Justice Harlan on that case</w:t>
            </w:r>
          </w:p>
          <w:p w:rsidR="0013722A" w:rsidRDefault="0013722A" w:rsidP="00971052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Alfred Thayer Mahon,</w:t>
            </w:r>
            <w:r w:rsidRPr="0013722A">
              <w:rPr>
                <w:rFonts w:cs="Arial"/>
                <w:i/>
                <w:sz w:val="18"/>
                <w:szCs w:val="18"/>
              </w:rPr>
              <w:t xml:space="preserve"> Influence of Sea Power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Alaska, Seward’s Folly, and later value 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Social Darwinism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13722A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century imperialism and supports from prior movements like manifest destiny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Yellow journalism, Pulitzer and Hearst</w:t>
            </w:r>
          </w:p>
          <w:p w:rsidR="0013722A" w:rsidRP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Hawaii. coup by Sanford Dole and proposed annexation</w:t>
            </w:r>
            <w:r w:rsidRPr="0013722A">
              <w:rPr>
                <w:rFonts w:cs="Arial"/>
                <w:sz w:val="18"/>
                <w:szCs w:val="18"/>
              </w:rPr>
              <w:br/>
              <w:t>- and President Grover Cleveland</w:t>
            </w:r>
            <w:r w:rsidRPr="0013722A">
              <w:rPr>
                <w:rFonts w:cs="Arial"/>
                <w:sz w:val="18"/>
                <w:szCs w:val="18"/>
              </w:rPr>
              <w:br/>
              <w:t>- and President William McKinley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Rough Riders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Cuba and Teller Amendment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Territories gained from Spanish American War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Cuba and Platt Amendment and Guantanamo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Samoa and US—and Germany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Door Policy, Secretary of State John Hayes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Philippines, resistance to US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Philippines and Anti-Imperialist League (See Chapter 19 Primaries).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Roosevelt Corollary to the Monroe Doctrine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Panama Canal, T. Roosevelt</w:t>
            </w:r>
          </w:p>
          <w:p w:rsidR="0013722A" w:rsidRDefault="0013722A" w:rsidP="0013722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“Dollar Diplomacy” and Taft</w:t>
            </w:r>
          </w:p>
          <w:p w:rsidR="001956E0" w:rsidRPr="00206B63" w:rsidRDefault="00DB389B" w:rsidP="00F210A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Blockad</w:t>
            </w:r>
            <w:r w:rsidR="0013722A">
              <w:rPr>
                <w:rFonts w:cs="Arial"/>
                <w:sz w:val="18"/>
                <w:szCs w:val="18"/>
              </w:rPr>
              <w:t>e of Mexico, Wilson</w:t>
            </w:r>
          </w:p>
          <w:p w:rsidR="001956E0" w:rsidRPr="00F210A3" w:rsidRDefault="001956E0" w:rsidP="00F210A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4755A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  <w:r w:rsidR="00F25546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Unit 1. </w:t>
      </w:r>
      <w:r w:rsidR="00F25546">
        <w:rPr>
          <w:sz w:val="18"/>
          <w:szCs w:val="18"/>
        </w:rPr>
        <w:t>I will explain in class any concept that will be on the exam.</w:t>
      </w:r>
      <w:r w:rsidR="00403145">
        <w:rPr>
          <w:sz w:val="18"/>
          <w:szCs w:val="18"/>
        </w:rPr>
        <w:t xml:space="preserve"> (FYI: I create my tests in sets so they vary for students.)</w:t>
      </w:r>
    </w:p>
    <w:sectPr w:rsidR="00E4755A" w:rsidRPr="002D6842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830BC4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60DAC"/>
    <w:multiLevelType w:val="hybridMultilevel"/>
    <w:tmpl w:val="8C64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4"/>
  </w:num>
  <w:num w:numId="5">
    <w:abstractNumId w:val="32"/>
  </w:num>
  <w:num w:numId="6">
    <w:abstractNumId w:val="6"/>
  </w:num>
  <w:num w:numId="7">
    <w:abstractNumId w:val="19"/>
  </w:num>
  <w:num w:numId="8">
    <w:abstractNumId w:val="38"/>
  </w:num>
  <w:num w:numId="9">
    <w:abstractNumId w:val="33"/>
  </w:num>
  <w:num w:numId="10">
    <w:abstractNumId w:val="29"/>
  </w:num>
  <w:num w:numId="11">
    <w:abstractNumId w:val="28"/>
  </w:num>
  <w:num w:numId="12">
    <w:abstractNumId w:val="21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36"/>
  </w:num>
  <w:num w:numId="18">
    <w:abstractNumId w:val="5"/>
  </w:num>
  <w:num w:numId="19">
    <w:abstractNumId w:val="35"/>
  </w:num>
  <w:num w:numId="20">
    <w:abstractNumId w:val="13"/>
  </w:num>
  <w:num w:numId="21">
    <w:abstractNumId w:val="3"/>
  </w:num>
  <w:num w:numId="22">
    <w:abstractNumId w:val="23"/>
  </w:num>
  <w:num w:numId="23">
    <w:abstractNumId w:val="30"/>
  </w:num>
  <w:num w:numId="24">
    <w:abstractNumId w:val="37"/>
  </w:num>
  <w:num w:numId="25">
    <w:abstractNumId w:val="31"/>
  </w:num>
  <w:num w:numId="26">
    <w:abstractNumId w:val="22"/>
  </w:num>
  <w:num w:numId="27">
    <w:abstractNumId w:val="24"/>
  </w:num>
  <w:num w:numId="28">
    <w:abstractNumId w:val="16"/>
  </w:num>
  <w:num w:numId="29">
    <w:abstractNumId w:val="15"/>
  </w:num>
  <w:num w:numId="30">
    <w:abstractNumId w:val="0"/>
  </w:num>
  <w:num w:numId="31">
    <w:abstractNumId w:val="12"/>
  </w:num>
  <w:num w:numId="32">
    <w:abstractNumId w:val="18"/>
  </w:num>
  <w:num w:numId="33">
    <w:abstractNumId w:val="8"/>
  </w:num>
  <w:num w:numId="34">
    <w:abstractNumId w:val="9"/>
  </w:num>
  <w:num w:numId="35">
    <w:abstractNumId w:val="25"/>
  </w:num>
  <w:num w:numId="36">
    <w:abstractNumId w:val="11"/>
  </w:num>
  <w:num w:numId="37">
    <w:abstractNumId w:val="27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C110B"/>
    <w:rsid w:val="000F2532"/>
    <w:rsid w:val="000F4DC7"/>
    <w:rsid w:val="001063F9"/>
    <w:rsid w:val="001066B4"/>
    <w:rsid w:val="0013722A"/>
    <w:rsid w:val="0016767A"/>
    <w:rsid w:val="001737AB"/>
    <w:rsid w:val="00192BA4"/>
    <w:rsid w:val="001956E0"/>
    <w:rsid w:val="001A03F2"/>
    <w:rsid w:val="001D1C98"/>
    <w:rsid w:val="001D752C"/>
    <w:rsid w:val="001F14FC"/>
    <w:rsid w:val="00206B63"/>
    <w:rsid w:val="00206F4A"/>
    <w:rsid w:val="00244512"/>
    <w:rsid w:val="00251BE7"/>
    <w:rsid w:val="00292CB9"/>
    <w:rsid w:val="002D6842"/>
    <w:rsid w:val="002E45B2"/>
    <w:rsid w:val="00327393"/>
    <w:rsid w:val="003328C9"/>
    <w:rsid w:val="0036329A"/>
    <w:rsid w:val="0038300D"/>
    <w:rsid w:val="00385834"/>
    <w:rsid w:val="003A2FD6"/>
    <w:rsid w:val="003B0BAE"/>
    <w:rsid w:val="003D2D80"/>
    <w:rsid w:val="003D3F8D"/>
    <w:rsid w:val="003E21DC"/>
    <w:rsid w:val="003F5C4E"/>
    <w:rsid w:val="003F668C"/>
    <w:rsid w:val="00403145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81CF8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F6065"/>
    <w:rsid w:val="006F637D"/>
    <w:rsid w:val="00703317"/>
    <w:rsid w:val="0070724E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048A0"/>
    <w:rsid w:val="00831323"/>
    <w:rsid w:val="008328E1"/>
    <w:rsid w:val="00842FE6"/>
    <w:rsid w:val="00873FB1"/>
    <w:rsid w:val="008744E2"/>
    <w:rsid w:val="008C1E72"/>
    <w:rsid w:val="008F53AF"/>
    <w:rsid w:val="008F78BC"/>
    <w:rsid w:val="00904605"/>
    <w:rsid w:val="009502F2"/>
    <w:rsid w:val="00971052"/>
    <w:rsid w:val="009E4101"/>
    <w:rsid w:val="009F2C1A"/>
    <w:rsid w:val="00A1280E"/>
    <w:rsid w:val="00A2320B"/>
    <w:rsid w:val="00A31026"/>
    <w:rsid w:val="00A41A30"/>
    <w:rsid w:val="00A47254"/>
    <w:rsid w:val="00A54CD0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13DF5"/>
    <w:rsid w:val="00B52D25"/>
    <w:rsid w:val="00B676AB"/>
    <w:rsid w:val="00BA2390"/>
    <w:rsid w:val="00C02F7D"/>
    <w:rsid w:val="00C332F3"/>
    <w:rsid w:val="00C3642B"/>
    <w:rsid w:val="00C37A93"/>
    <w:rsid w:val="00C504A9"/>
    <w:rsid w:val="00C7214B"/>
    <w:rsid w:val="00C83CA0"/>
    <w:rsid w:val="00CB2B34"/>
    <w:rsid w:val="00CD6A14"/>
    <w:rsid w:val="00CE3D1F"/>
    <w:rsid w:val="00D05848"/>
    <w:rsid w:val="00D21E52"/>
    <w:rsid w:val="00D2529D"/>
    <w:rsid w:val="00D64F43"/>
    <w:rsid w:val="00DA7E64"/>
    <w:rsid w:val="00DB389B"/>
    <w:rsid w:val="00DB533C"/>
    <w:rsid w:val="00DE22F2"/>
    <w:rsid w:val="00DE5B3C"/>
    <w:rsid w:val="00E4755A"/>
    <w:rsid w:val="00E56759"/>
    <w:rsid w:val="00E60CAD"/>
    <w:rsid w:val="00E8567E"/>
    <w:rsid w:val="00E93E1C"/>
    <w:rsid w:val="00EC743D"/>
    <w:rsid w:val="00EE5D36"/>
    <w:rsid w:val="00F13CA6"/>
    <w:rsid w:val="00F210A3"/>
    <w:rsid w:val="00F25546"/>
    <w:rsid w:val="00F260AC"/>
    <w:rsid w:val="00F340D7"/>
    <w:rsid w:val="00F42ACB"/>
    <w:rsid w:val="00F46C0E"/>
    <w:rsid w:val="00F51777"/>
    <w:rsid w:val="00F615D9"/>
    <w:rsid w:val="00F877A6"/>
    <w:rsid w:val="00FA39CB"/>
    <w:rsid w:val="00FB142A"/>
    <w:rsid w:val="00FD1705"/>
    <w:rsid w:val="00FD578A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2AC12-4B73-41D9-8CAF-29E9876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4F7-F072-4549-959A-4011A006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5</cp:revision>
  <cp:lastPrinted>2016-09-02T17:20:00Z</cp:lastPrinted>
  <dcterms:created xsi:type="dcterms:W3CDTF">2016-10-05T15:47:00Z</dcterms:created>
  <dcterms:modified xsi:type="dcterms:W3CDTF">2017-01-26T05:02:00Z</dcterms:modified>
</cp:coreProperties>
</file>