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1C4" w:rsidRPr="002401C4" w:rsidRDefault="002401C4" w:rsidP="002401C4">
      <w:pPr>
        <w:autoSpaceDE w:val="0"/>
        <w:autoSpaceDN w:val="0"/>
        <w:adjustRightInd w:val="0"/>
        <w:spacing w:after="0" w:line="240" w:lineRule="auto"/>
        <w:rPr>
          <w:rFonts w:ascii="BAJHKM+Arial,Bold" w:hAnsi="BAJHKM+Arial,Bold" w:cs="BAJHKM+Arial,Bold"/>
          <w:color w:val="000000"/>
          <w:sz w:val="24"/>
          <w:szCs w:val="24"/>
        </w:rPr>
      </w:pPr>
    </w:p>
    <w:tbl>
      <w:tblPr>
        <w:tblW w:w="12078" w:type="dxa"/>
        <w:tblInd w:w="-540" w:type="dxa"/>
        <w:tblBorders>
          <w:top w:val="nil"/>
          <w:left w:val="nil"/>
          <w:bottom w:val="nil"/>
          <w:right w:val="nil"/>
        </w:tblBorders>
        <w:tblLayout w:type="fixed"/>
        <w:tblLook w:val="0000" w:firstRow="0" w:lastRow="0" w:firstColumn="0" w:lastColumn="0" w:noHBand="0" w:noVBand="0"/>
      </w:tblPr>
      <w:tblGrid>
        <w:gridCol w:w="2666"/>
        <w:gridCol w:w="3292"/>
        <w:gridCol w:w="3420"/>
        <w:gridCol w:w="2700"/>
      </w:tblGrid>
      <w:tr w:rsidR="002401C4" w:rsidRPr="002401C4" w:rsidTr="002401C4">
        <w:tblPrEx>
          <w:tblCellMar>
            <w:top w:w="0" w:type="dxa"/>
            <w:bottom w:w="0" w:type="dxa"/>
          </w:tblCellMar>
        </w:tblPrEx>
        <w:tc>
          <w:tcPr>
            <w:tcW w:w="2666" w:type="dxa"/>
          </w:tcPr>
          <w:p w:rsidR="002401C4" w:rsidRPr="002401C4" w:rsidRDefault="002401C4" w:rsidP="002401C4">
            <w:pPr>
              <w:autoSpaceDE w:val="0"/>
              <w:autoSpaceDN w:val="0"/>
              <w:adjustRightInd w:val="0"/>
              <w:spacing w:after="0" w:line="240" w:lineRule="auto"/>
              <w:rPr>
                <w:rFonts w:ascii="BAJHKM+Arial,Bold" w:hAnsi="BAJHKM+Arial,Bold" w:cs="BAJHKM+Arial,Bold"/>
                <w:color w:val="000000"/>
                <w:sz w:val="18"/>
                <w:szCs w:val="18"/>
              </w:rPr>
            </w:pPr>
            <w:r w:rsidRPr="002401C4">
              <w:rPr>
                <w:rFonts w:ascii="BAJHKM+Arial,Bold" w:hAnsi="BAJHKM+Arial,Bold"/>
                <w:sz w:val="24"/>
                <w:szCs w:val="24"/>
              </w:rPr>
              <w:t xml:space="preserve"> </w:t>
            </w:r>
            <w:r w:rsidRPr="002401C4">
              <w:rPr>
                <w:rFonts w:ascii="BAJHKM+Arial,Bold" w:hAnsi="BAJHKM+Arial,Bold" w:cs="BAJHKM+Arial,Bold"/>
                <w:b/>
                <w:bCs/>
                <w:color w:val="000000"/>
                <w:sz w:val="18"/>
                <w:szCs w:val="18"/>
              </w:rPr>
              <w:t xml:space="preserve">Issue </w:t>
            </w:r>
          </w:p>
        </w:tc>
        <w:tc>
          <w:tcPr>
            <w:tcW w:w="3292" w:type="dxa"/>
          </w:tcPr>
          <w:p w:rsidR="002401C4" w:rsidRPr="002401C4" w:rsidRDefault="002401C4" w:rsidP="002401C4">
            <w:pPr>
              <w:autoSpaceDE w:val="0"/>
              <w:autoSpaceDN w:val="0"/>
              <w:adjustRightInd w:val="0"/>
              <w:spacing w:after="0" w:line="240" w:lineRule="auto"/>
              <w:rPr>
                <w:rFonts w:ascii="BAJHKM+Arial,Bold" w:hAnsi="BAJHKM+Arial,Bold" w:cs="BAJHKM+Arial,Bold"/>
                <w:color w:val="000000"/>
                <w:sz w:val="18"/>
                <w:szCs w:val="18"/>
              </w:rPr>
            </w:pPr>
            <w:r w:rsidRPr="002401C4">
              <w:rPr>
                <w:rFonts w:ascii="BAJHKM+Arial,Bold" w:hAnsi="BAJHKM+Arial,Bold" w:cs="BAJHKM+Arial,Bold"/>
                <w:b/>
                <w:bCs/>
                <w:color w:val="000000"/>
                <w:sz w:val="18"/>
                <w:szCs w:val="18"/>
              </w:rPr>
              <w:t xml:space="preserve">New England (CT, ME, MA, NH, RI) </w:t>
            </w:r>
          </w:p>
        </w:tc>
        <w:tc>
          <w:tcPr>
            <w:tcW w:w="3420" w:type="dxa"/>
          </w:tcPr>
          <w:p w:rsidR="002401C4" w:rsidRPr="002401C4" w:rsidRDefault="002401C4" w:rsidP="002401C4">
            <w:pPr>
              <w:autoSpaceDE w:val="0"/>
              <w:autoSpaceDN w:val="0"/>
              <w:adjustRightInd w:val="0"/>
              <w:spacing w:after="0" w:line="240" w:lineRule="auto"/>
              <w:rPr>
                <w:rFonts w:ascii="BAJHKM+Arial,Bold" w:hAnsi="BAJHKM+Arial,Bold" w:cs="BAJHKM+Arial,Bold"/>
                <w:color w:val="000000"/>
                <w:sz w:val="18"/>
                <w:szCs w:val="18"/>
              </w:rPr>
            </w:pPr>
            <w:r>
              <w:rPr>
                <w:rFonts w:ascii="BAJHKM+Arial,Bold" w:hAnsi="BAJHKM+Arial,Bold" w:cs="BAJHKM+Arial,Bold"/>
                <w:b/>
                <w:bCs/>
                <w:color w:val="000000"/>
                <w:sz w:val="18"/>
                <w:szCs w:val="18"/>
              </w:rPr>
              <w:t>Middle Colonies (DE</w:t>
            </w:r>
            <w:r w:rsidRPr="002401C4">
              <w:rPr>
                <w:rFonts w:ascii="BAJHKM+Arial,Bold" w:hAnsi="BAJHKM+Arial,Bold" w:cs="BAJHKM+Arial,Bold"/>
                <w:b/>
                <w:bCs/>
                <w:color w:val="000000"/>
                <w:sz w:val="18"/>
                <w:szCs w:val="18"/>
              </w:rPr>
              <w:t xml:space="preserve">, NY, NJ, PA) </w:t>
            </w:r>
          </w:p>
        </w:tc>
        <w:tc>
          <w:tcPr>
            <w:tcW w:w="2700" w:type="dxa"/>
          </w:tcPr>
          <w:p w:rsidR="002401C4" w:rsidRPr="002401C4" w:rsidRDefault="002401C4" w:rsidP="002401C4">
            <w:pPr>
              <w:autoSpaceDE w:val="0"/>
              <w:autoSpaceDN w:val="0"/>
              <w:adjustRightInd w:val="0"/>
              <w:spacing w:after="0" w:line="240" w:lineRule="auto"/>
              <w:rPr>
                <w:rFonts w:ascii="BAJHKM+Arial,Bold" w:hAnsi="BAJHKM+Arial,Bold" w:cs="BAJHKM+Arial,Bold"/>
                <w:color w:val="000000"/>
                <w:sz w:val="18"/>
                <w:szCs w:val="18"/>
              </w:rPr>
            </w:pPr>
            <w:r w:rsidRPr="002401C4">
              <w:rPr>
                <w:rFonts w:ascii="BAJHKM+Arial,Bold" w:hAnsi="BAJHKM+Arial,Bold" w:cs="BAJHKM+Arial,Bold"/>
                <w:b/>
                <w:bCs/>
                <w:color w:val="000000"/>
                <w:sz w:val="18"/>
                <w:szCs w:val="18"/>
              </w:rPr>
              <w:t xml:space="preserve">South (GA, </w:t>
            </w:r>
            <w:r w:rsidRPr="002401C4">
              <w:rPr>
                <w:rFonts w:ascii="BAJKFO+Arial,BoldItalic" w:hAnsi="BAJKFO+Arial,BoldItalic" w:cs="BAJKFO+Arial,BoldItalic"/>
                <w:b/>
                <w:bCs/>
                <w:color w:val="000000"/>
                <w:sz w:val="18"/>
                <w:szCs w:val="18"/>
              </w:rPr>
              <w:t xml:space="preserve">MD, </w:t>
            </w:r>
            <w:r w:rsidRPr="002401C4">
              <w:rPr>
                <w:rFonts w:ascii="BAJHKM+Arial,Bold" w:hAnsi="BAJHKM+Arial,Bold" w:cs="BAJHKM+Arial,Bold"/>
                <w:b/>
                <w:bCs/>
                <w:color w:val="000000"/>
                <w:sz w:val="18"/>
                <w:szCs w:val="18"/>
              </w:rPr>
              <w:t xml:space="preserve">NC, SC, VA) </w:t>
            </w:r>
          </w:p>
        </w:tc>
      </w:tr>
      <w:tr w:rsidR="002401C4" w:rsidRPr="002401C4" w:rsidTr="002401C4">
        <w:tblPrEx>
          <w:tblCellMar>
            <w:top w:w="0" w:type="dxa"/>
            <w:bottom w:w="0" w:type="dxa"/>
          </w:tblCellMar>
        </w:tblPrEx>
        <w:tc>
          <w:tcPr>
            <w:tcW w:w="2666"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What was the difference in population trends (birth and death and male and female) in New England and the South and in proportions of blacks to whites in the three colonial regions? </w:t>
            </w:r>
          </w:p>
        </w:tc>
        <w:tc>
          <w:tcPr>
            <w:tcW w:w="3292"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Life expectancy = 70 (high for England). </w:t>
            </w:r>
          </w:p>
        </w:tc>
        <w:tc>
          <w:tcPr>
            <w:tcW w:w="3420" w:type="dxa"/>
          </w:tcPr>
          <w:p w:rsidR="002401C4" w:rsidRPr="002401C4" w:rsidRDefault="002401C4" w:rsidP="002401C4">
            <w:pPr>
              <w:autoSpaceDE w:val="0"/>
              <w:autoSpaceDN w:val="0"/>
              <w:adjustRightInd w:val="0"/>
              <w:spacing w:after="0" w:line="240" w:lineRule="auto"/>
              <w:rPr>
                <w:rFonts w:ascii="BAJHKM+Arial,Bold" w:hAnsi="BAJHKM+Arial,Bold"/>
                <w:color w:val="000000"/>
                <w:sz w:val="18"/>
                <w:szCs w:val="18"/>
              </w:rPr>
            </w:pPr>
            <w:r w:rsidRPr="002401C4">
              <w:rPr>
                <w:rFonts w:ascii="BAJHKM+Arial,Bold" w:hAnsi="BAJHKM+Arial,Bold"/>
                <w:color w:val="000000"/>
                <w:sz w:val="18"/>
                <w:szCs w:val="18"/>
              </w:rPr>
              <w:t xml:space="preserve"> </w:t>
            </w:r>
          </w:p>
        </w:tc>
        <w:tc>
          <w:tcPr>
            <w:tcW w:w="2700"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Life expectancy = 40 </w:t>
            </w:r>
          </w:p>
        </w:tc>
      </w:tr>
      <w:tr w:rsidR="002401C4" w:rsidRPr="002401C4" w:rsidTr="002401C4">
        <w:tblPrEx>
          <w:tblCellMar>
            <w:top w:w="0" w:type="dxa"/>
            <w:bottom w:w="0" w:type="dxa"/>
          </w:tblCellMar>
        </w:tblPrEx>
        <w:tc>
          <w:tcPr>
            <w:tcW w:w="2666"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p>
        </w:tc>
        <w:tc>
          <w:tcPr>
            <w:tcW w:w="3292"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Population increases 1650-1700 = 4X (Family = 6 to 8 children to maturity) </w:t>
            </w:r>
          </w:p>
        </w:tc>
        <w:tc>
          <w:tcPr>
            <w:tcW w:w="3420" w:type="dxa"/>
          </w:tcPr>
          <w:p w:rsidR="002401C4" w:rsidRPr="002401C4" w:rsidRDefault="002401C4" w:rsidP="002401C4">
            <w:pPr>
              <w:autoSpaceDE w:val="0"/>
              <w:autoSpaceDN w:val="0"/>
              <w:adjustRightInd w:val="0"/>
              <w:spacing w:after="0" w:line="240" w:lineRule="auto"/>
              <w:rPr>
                <w:rFonts w:ascii="BAJHKM+Arial,Bold" w:hAnsi="BAJHKM+Arial,Bold"/>
                <w:color w:val="000000"/>
                <w:sz w:val="18"/>
                <w:szCs w:val="18"/>
              </w:rPr>
            </w:pPr>
            <w:r w:rsidRPr="002401C4">
              <w:rPr>
                <w:rFonts w:ascii="BAJHKM+Arial,Bold" w:hAnsi="BAJHKM+Arial,Bold"/>
                <w:color w:val="000000"/>
                <w:sz w:val="18"/>
                <w:szCs w:val="18"/>
              </w:rPr>
              <w:t xml:space="preserve"> </w:t>
            </w:r>
          </w:p>
        </w:tc>
        <w:tc>
          <w:tcPr>
            <w:tcW w:w="2700"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Death rate = 1 in 4 dead in infancy; 1 in 2 dead before 20 </w:t>
            </w:r>
          </w:p>
        </w:tc>
      </w:tr>
      <w:tr w:rsidR="002401C4" w:rsidRPr="002401C4" w:rsidTr="002401C4">
        <w:tblPrEx>
          <w:tblCellMar>
            <w:top w:w="0" w:type="dxa"/>
            <w:bottom w:w="0" w:type="dxa"/>
          </w:tblCellMar>
        </w:tblPrEx>
        <w:tc>
          <w:tcPr>
            <w:tcW w:w="2666"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p>
        </w:tc>
        <w:tc>
          <w:tcPr>
            <w:tcW w:w="3292"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Male to female = 6 of 10 (early period), or a ratio of 3 males to 2 females </w:t>
            </w:r>
          </w:p>
        </w:tc>
        <w:tc>
          <w:tcPr>
            <w:tcW w:w="3420" w:type="dxa"/>
          </w:tcPr>
          <w:p w:rsidR="002401C4" w:rsidRPr="002401C4" w:rsidRDefault="002401C4" w:rsidP="002401C4">
            <w:pPr>
              <w:autoSpaceDE w:val="0"/>
              <w:autoSpaceDN w:val="0"/>
              <w:adjustRightInd w:val="0"/>
              <w:spacing w:after="0" w:line="240" w:lineRule="auto"/>
              <w:rPr>
                <w:rFonts w:ascii="BAJHKM+Arial,Bold" w:hAnsi="BAJHKM+Arial,Bold"/>
                <w:color w:val="000000"/>
                <w:sz w:val="18"/>
                <w:szCs w:val="18"/>
              </w:rPr>
            </w:pPr>
            <w:r w:rsidRPr="002401C4">
              <w:rPr>
                <w:rFonts w:ascii="BAJHKM+Arial,Bold" w:hAnsi="BAJHKM+Arial,Bold"/>
                <w:color w:val="000000"/>
                <w:sz w:val="18"/>
                <w:szCs w:val="18"/>
              </w:rPr>
              <w:t xml:space="preserve"> </w:t>
            </w:r>
          </w:p>
        </w:tc>
        <w:tc>
          <w:tcPr>
            <w:tcW w:w="2700"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Male to female = 7.5 of 10 (early period), or a ratio of 3 males to 1 female </w:t>
            </w:r>
          </w:p>
        </w:tc>
      </w:tr>
      <w:tr w:rsidR="002401C4" w:rsidRPr="002401C4" w:rsidTr="002401C4">
        <w:tblPrEx>
          <w:tblCellMar>
            <w:top w:w="0" w:type="dxa"/>
            <w:bottom w:w="0" w:type="dxa"/>
          </w:tblCellMar>
        </w:tblPrEx>
        <w:tc>
          <w:tcPr>
            <w:tcW w:w="2666"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p>
        </w:tc>
        <w:tc>
          <w:tcPr>
            <w:tcW w:w="3292"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Blacks - 16,000 (1763). </w:t>
            </w:r>
          </w:p>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Example: 3% MA </w:t>
            </w:r>
          </w:p>
        </w:tc>
        <w:tc>
          <w:tcPr>
            <w:tcW w:w="3420"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Blacks - 29,000. </w:t>
            </w:r>
          </w:p>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Example: 8% PA </w:t>
            </w:r>
          </w:p>
        </w:tc>
        <w:tc>
          <w:tcPr>
            <w:tcW w:w="2700"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Blacks - 205,000. </w:t>
            </w:r>
          </w:p>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Example: 40% VA, 60% Carolina (South) </w:t>
            </w:r>
          </w:p>
        </w:tc>
      </w:tr>
      <w:tr w:rsidR="002401C4" w:rsidRPr="002401C4" w:rsidTr="00441CE3">
        <w:tblPrEx>
          <w:tblCellMar>
            <w:top w:w="0" w:type="dxa"/>
            <w:bottom w:w="0" w:type="dxa"/>
          </w:tblCellMar>
        </w:tblPrEx>
        <w:tc>
          <w:tcPr>
            <w:tcW w:w="2666"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p>
        </w:tc>
        <w:tc>
          <w:tcPr>
            <w:tcW w:w="9412" w:type="dxa"/>
            <w:gridSpan w:val="3"/>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Age – ½ of population under age 16 </w:t>
            </w:r>
          </w:p>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Total non-Indian population = 2,000,000 in 1775 – Increase from about 1700 = 8 to 10X (depending on the estimate) </w:t>
            </w:r>
          </w:p>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Total black population = 25,000 in 1700; 250,000 in 1760 – Increase = 10X; 1750 20% slaves - 40% in Chesapeake, lower South</w:t>
            </w:r>
            <w:bookmarkStart w:id="0" w:name="_GoBack"/>
            <w:bookmarkEnd w:id="0"/>
          </w:p>
        </w:tc>
      </w:tr>
      <w:tr w:rsidR="002401C4" w:rsidRPr="002401C4" w:rsidTr="002401C4">
        <w:tblPrEx>
          <w:tblCellMar>
            <w:top w:w="0" w:type="dxa"/>
            <w:bottom w:w="0" w:type="dxa"/>
          </w:tblCellMar>
        </w:tblPrEx>
        <w:trPr>
          <w:gridAfter w:val="1"/>
          <w:wAfter w:w="2700" w:type="dxa"/>
        </w:trPr>
        <w:tc>
          <w:tcPr>
            <w:tcW w:w="2666"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p>
        </w:tc>
        <w:tc>
          <w:tcPr>
            <w:tcW w:w="3292" w:type="dxa"/>
          </w:tcPr>
          <w:p w:rsidR="002401C4" w:rsidRPr="002401C4" w:rsidRDefault="002401C4" w:rsidP="002401C4">
            <w:pPr>
              <w:autoSpaceDE w:val="0"/>
              <w:autoSpaceDN w:val="0"/>
              <w:adjustRightInd w:val="0"/>
              <w:spacing w:after="0" w:line="240" w:lineRule="auto"/>
              <w:rPr>
                <w:rFonts w:ascii="BAJHKM+Arial,Bold" w:hAnsi="BAJHKM+Arial,Bold"/>
                <w:color w:val="000000"/>
                <w:sz w:val="18"/>
                <w:szCs w:val="18"/>
              </w:rPr>
            </w:pPr>
          </w:p>
        </w:tc>
        <w:tc>
          <w:tcPr>
            <w:tcW w:w="3420"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p>
        </w:tc>
      </w:tr>
      <w:tr w:rsidR="002401C4" w:rsidRPr="002401C4" w:rsidTr="002401C4">
        <w:tblPrEx>
          <w:tblCellMar>
            <w:top w:w="0" w:type="dxa"/>
            <w:bottom w:w="0" w:type="dxa"/>
          </w:tblCellMar>
        </w:tblPrEx>
        <w:trPr>
          <w:gridAfter w:val="1"/>
          <w:wAfter w:w="2700" w:type="dxa"/>
        </w:trPr>
        <w:tc>
          <w:tcPr>
            <w:tcW w:w="2666"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p>
        </w:tc>
        <w:tc>
          <w:tcPr>
            <w:tcW w:w="3292" w:type="dxa"/>
          </w:tcPr>
          <w:p w:rsidR="002401C4" w:rsidRPr="002401C4" w:rsidRDefault="002401C4" w:rsidP="002401C4">
            <w:pPr>
              <w:autoSpaceDE w:val="0"/>
              <w:autoSpaceDN w:val="0"/>
              <w:adjustRightInd w:val="0"/>
              <w:spacing w:after="0" w:line="240" w:lineRule="auto"/>
              <w:rPr>
                <w:rFonts w:ascii="BAJHKM+Arial,Bold" w:hAnsi="BAJHKM+Arial,Bold"/>
                <w:color w:val="000000"/>
                <w:sz w:val="18"/>
                <w:szCs w:val="18"/>
              </w:rPr>
            </w:pPr>
          </w:p>
        </w:tc>
        <w:tc>
          <w:tcPr>
            <w:tcW w:w="3420"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p>
        </w:tc>
      </w:tr>
      <w:tr w:rsidR="002401C4" w:rsidRPr="002401C4" w:rsidTr="002401C4">
        <w:tblPrEx>
          <w:tblCellMar>
            <w:top w:w="0" w:type="dxa"/>
            <w:bottom w:w="0" w:type="dxa"/>
          </w:tblCellMar>
        </w:tblPrEx>
        <w:trPr>
          <w:gridAfter w:val="1"/>
          <w:wAfter w:w="2700" w:type="dxa"/>
        </w:trPr>
        <w:tc>
          <w:tcPr>
            <w:tcW w:w="2666"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p>
        </w:tc>
        <w:tc>
          <w:tcPr>
            <w:tcW w:w="3292"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p>
        </w:tc>
        <w:tc>
          <w:tcPr>
            <w:tcW w:w="3420"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p>
        </w:tc>
      </w:tr>
      <w:tr w:rsidR="002401C4" w:rsidRPr="002401C4" w:rsidTr="002401C4">
        <w:tblPrEx>
          <w:tblCellMar>
            <w:top w:w="0" w:type="dxa"/>
            <w:bottom w:w="0" w:type="dxa"/>
          </w:tblCellMar>
        </w:tblPrEx>
        <w:trPr>
          <w:gridAfter w:val="3"/>
          <w:wAfter w:w="9412" w:type="dxa"/>
        </w:trPr>
        <w:tc>
          <w:tcPr>
            <w:tcW w:w="2666"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 </w:t>
            </w:r>
          </w:p>
        </w:tc>
      </w:tr>
      <w:tr w:rsidR="002401C4" w:rsidRPr="002401C4" w:rsidTr="002401C4">
        <w:tblPrEx>
          <w:tblCellMar>
            <w:top w:w="0" w:type="dxa"/>
            <w:bottom w:w="0" w:type="dxa"/>
          </w:tblCellMar>
        </w:tblPrEx>
        <w:trPr>
          <w:gridAfter w:val="2"/>
          <w:wAfter w:w="6120" w:type="dxa"/>
        </w:trPr>
        <w:tc>
          <w:tcPr>
            <w:tcW w:w="2666"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Why did the non-English immigrants (approximately </w:t>
            </w:r>
            <w:r w:rsidRPr="002401C4">
              <w:rPr>
                <w:rFonts w:ascii="BAJHKM+Arial,Bold" w:hAnsi="BAJHKM+Arial,Bold" w:cs="BAJHKM+Arial,Bold"/>
                <w:b/>
                <w:bCs/>
                <w:color w:val="000000"/>
                <w:sz w:val="18"/>
                <w:szCs w:val="18"/>
              </w:rPr>
              <w:t xml:space="preserve">after </w:t>
            </w:r>
            <w:r w:rsidRPr="002401C4">
              <w:rPr>
                <w:rFonts w:ascii="BAJHIA+Arial" w:hAnsi="BAJHIA+Arial" w:cs="BAJHIA+Arial"/>
                <w:color w:val="000000"/>
                <w:sz w:val="18"/>
                <w:szCs w:val="18"/>
              </w:rPr>
              <w:t xml:space="preserve">1670s) come? </w:t>
            </w:r>
          </w:p>
        </w:tc>
        <w:tc>
          <w:tcPr>
            <w:tcW w:w="3292"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Religious persecution: French Huguenots, a Calvinist group, after 1685 (revocation of an agreement – Edict of Nantes − that had given them protection). Est. 100,000 German Protestants from Rhineland area </w:t>
            </w:r>
            <w:r w:rsidRPr="002401C4">
              <w:rPr>
                <w:rFonts w:ascii="BAJHKM+Arial,Bold" w:hAnsi="BAJHKM+Arial,Bold" w:cs="BAJHKM+Arial,Bold"/>
                <w:b/>
                <w:bCs/>
                <w:color w:val="000000"/>
                <w:sz w:val="18"/>
                <w:szCs w:val="18"/>
              </w:rPr>
              <w:t xml:space="preserve">mainly </w:t>
            </w:r>
            <w:r w:rsidRPr="002401C4">
              <w:rPr>
                <w:rFonts w:ascii="BAJHIA+Arial" w:hAnsi="BAJHIA+Arial" w:cs="BAJHIA+Arial"/>
                <w:color w:val="000000"/>
                <w:sz w:val="18"/>
                <w:szCs w:val="18"/>
              </w:rPr>
              <w:t xml:space="preserve">to PA (and called PA Dutch because of a name confusion). Minor groups as well. </w:t>
            </w:r>
            <w:r w:rsidRPr="002401C4">
              <w:rPr>
                <w:rFonts w:ascii="BAJLJD+Arial,Italic" w:hAnsi="BAJLJD+Arial,Italic" w:cs="BAJLJD+Arial,Italic"/>
                <w:color w:val="000000"/>
                <w:sz w:val="18"/>
                <w:szCs w:val="18"/>
              </w:rPr>
              <w:t xml:space="preserve">Note: </w:t>
            </w:r>
            <w:r w:rsidRPr="002401C4">
              <w:rPr>
                <w:rFonts w:ascii="BAJHIA+Arial" w:hAnsi="BAJHIA+Arial" w:cs="BAJHIA+Arial"/>
                <w:color w:val="000000"/>
                <w:sz w:val="18"/>
                <w:szCs w:val="18"/>
              </w:rPr>
              <w:t xml:space="preserve">Later Germans (mainly Lutherans) came for financial opportunity rather than escaping persecution. </w:t>
            </w:r>
          </w:p>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Financial distress (Scotland; Ireland) – Scottish Presbyterians (called Scotch-Irish) – est. 150,000. Primarily move into “backcountry” – rural frontier – from PA through GA. </w:t>
            </w:r>
          </w:p>
        </w:tc>
      </w:tr>
      <w:tr w:rsidR="002401C4" w:rsidRPr="002401C4" w:rsidTr="002401C4">
        <w:tblPrEx>
          <w:tblCellMar>
            <w:top w:w="0" w:type="dxa"/>
            <w:bottom w:w="0" w:type="dxa"/>
          </w:tblCellMar>
        </w:tblPrEx>
        <w:tc>
          <w:tcPr>
            <w:tcW w:w="2666"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lastRenderedPageBreak/>
              <w:t xml:space="preserve">Where did most of them go? </w:t>
            </w:r>
          </w:p>
        </w:tc>
        <w:tc>
          <w:tcPr>
            <w:tcW w:w="3292"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French Huguenots − MA </w:t>
            </w:r>
          </w:p>
        </w:tc>
        <w:tc>
          <w:tcPr>
            <w:tcW w:w="3420"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French Huguenots − NY </w:t>
            </w:r>
          </w:p>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Dutch Reform – NY, NJ </w:t>
            </w:r>
          </w:p>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German, Moravians/Mennonites – PA </w:t>
            </w:r>
          </w:p>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German – PA </w:t>
            </w:r>
          </w:p>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Scotch-Irish – PA (“backcountry”) </w:t>
            </w:r>
          </w:p>
        </w:tc>
        <w:tc>
          <w:tcPr>
            <w:tcW w:w="2700"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French Huguenots − Charleston area </w:t>
            </w:r>
          </w:p>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Scotch-Irish – VA, NC (“backcountry”) </w:t>
            </w:r>
          </w:p>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Some Germans, Moravians – GA </w:t>
            </w:r>
          </w:p>
        </w:tc>
      </w:tr>
      <w:tr w:rsidR="002401C4" w:rsidRPr="002401C4" w:rsidTr="002401C4">
        <w:tblPrEx>
          <w:tblCellMar>
            <w:top w:w="0" w:type="dxa"/>
            <w:bottom w:w="0" w:type="dxa"/>
          </w:tblCellMar>
        </w:tblPrEx>
        <w:trPr>
          <w:gridAfter w:val="1"/>
          <w:wAfter w:w="2700" w:type="dxa"/>
        </w:trPr>
        <w:tc>
          <w:tcPr>
            <w:tcW w:w="2666"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Where did the indentured servants who came </w:t>
            </w:r>
            <w:r w:rsidRPr="002401C4">
              <w:rPr>
                <w:rFonts w:ascii="BAJHKM+Arial,Bold" w:hAnsi="BAJHKM+Arial,Bold" w:cs="BAJHKM+Arial,Bold"/>
                <w:b/>
                <w:bCs/>
                <w:color w:val="000000"/>
                <w:sz w:val="18"/>
                <w:szCs w:val="18"/>
              </w:rPr>
              <w:t xml:space="preserve">before </w:t>
            </w:r>
            <w:r w:rsidRPr="002401C4">
              <w:rPr>
                <w:rFonts w:ascii="BAJHIA+Arial" w:hAnsi="BAJHIA+Arial" w:cs="BAJHIA+Arial"/>
                <w:color w:val="000000"/>
                <w:sz w:val="18"/>
                <w:szCs w:val="18"/>
              </w:rPr>
              <w:t xml:space="preserve">and </w:t>
            </w:r>
            <w:r w:rsidRPr="002401C4">
              <w:rPr>
                <w:rFonts w:ascii="BAJHKM+Arial,Bold" w:hAnsi="BAJHKM+Arial,Bold" w:cs="BAJHKM+Arial,Bold"/>
                <w:b/>
                <w:bCs/>
                <w:color w:val="000000"/>
                <w:sz w:val="18"/>
                <w:szCs w:val="18"/>
              </w:rPr>
              <w:t xml:space="preserve">after </w:t>
            </w:r>
            <w:r w:rsidRPr="002401C4">
              <w:rPr>
                <w:rFonts w:ascii="BAJHIA+Arial" w:hAnsi="BAJHIA+Arial" w:cs="BAJHIA+Arial"/>
                <w:color w:val="000000"/>
                <w:sz w:val="18"/>
                <w:szCs w:val="18"/>
              </w:rPr>
              <w:t xml:space="preserve">the 1670s go? </w:t>
            </w:r>
          </w:p>
        </w:tc>
        <w:tc>
          <w:tcPr>
            <w:tcW w:w="3292"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KM+Arial,Bold" w:hAnsi="BAJHKM+Arial,Bold" w:cs="BAJHKM+Arial,Bold"/>
                <w:b/>
                <w:bCs/>
                <w:color w:val="000000"/>
                <w:sz w:val="18"/>
                <w:szCs w:val="18"/>
              </w:rPr>
              <w:t xml:space="preserve">After </w:t>
            </w:r>
            <w:r w:rsidRPr="002401C4">
              <w:rPr>
                <w:rFonts w:ascii="BAJHIA+Arial" w:hAnsi="BAJHIA+Arial" w:cs="BAJHIA+Arial"/>
                <w:color w:val="000000"/>
                <w:sz w:val="18"/>
                <w:szCs w:val="18"/>
              </w:rPr>
              <w:t xml:space="preserve">1670s, indentured servants immigrated primarily to northern colonies. </w:t>
            </w:r>
          </w:p>
        </w:tc>
        <w:tc>
          <w:tcPr>
            <w:tcW w:w="3420"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20"/>
                <w:szCs w:val="20"/>
              </w:rPr>
            </w:pPr>
            <w:r w:rsidRPr="002401C4">
              <w:rPr>
                <w:rFonts w:ascii="BAJHIA+Arial" w:hAnsi="BAJHIA+Arial" w:cs="BAJHIA+Arial"/>
                <w:color w:val="000000"/>
                <w:sz w:val="18"/>
                <w:szCs w:val="18"/>
              </w:rPr>
              <w:t>Before 1670s, 7-8.5 of 10 colonists were indentured (owing their masters 4-7 years’ service, depending on their age, with young people owing longer)</w:t>
            </w:r>
            <w:r w:rsidRPr="002401C4">
              <w:rPr>
                <w:rFonts w:ascii="BAJHIA+Arial" w:hAnsi="BAJHIA+Arial" w:cs="BAJHIA+Arial"/>
                <w:color w:val="000000"/>
                <w:sz w:val="20"/>
                <w:szCs w:val="20"/>
              </w:rPr>
              <w:t xml:space="preserve">. </w:t>
            </w:r>
          </w:p>
        </w:tc>
      </w:tr>
      <w:tr w:rsidR="002401C4" w:rsidRPr="002401C4" w:rsidTr="002401C4">
        <w:tblPrEx>
          <w:tblCellMar>
            <w:top w:w="0" w:type="dxa"/>
            <w:bottom w:w="0" w:type="dxa"/>
          </w:tblCellMar>
        </w:tblPrEx>
        <w:tc>
          <w:tcPr>
            <w:tcW w:w="2666"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In which colonial regions were the cities? </w:t>
            </w:r>
          </w:p>
        </w:tc>
        <w:tc>
          <w:tcPr>
            <w:tcW w:w="3292"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Boston = 16,000 </w:t>
            </w:r>
          </w:p>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(Data in this row from the 1770s) </w:t>
            </w:r>
          </w:p>
        </w:tc>
        <w:tc>
          <w:tcPr>
            <w:tcW w:w="3420"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Philadelphia = 28,000 </w:t>
            </w:r>
          </w:p>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New York = 25,000 </w:t>
            </w:r>
          </w:p>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Newport (RI) = 11,000 </w:t>
            </w:r>
          </w:p>
        </w:tc>
        <w:tc>
          <w:tcPr>
            <w:tcW w:w="2700"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Charles Town = 12,000 with trade actually controlled by merchants from Britain/New England </w:t>
            </w:r>
          </w:p>
        </w:tc>
      </w:tr>
      <w:tr w:rsidR="002401C4" w:rsidRPr="002401C4" w:rsidTr="002401C4">
        <w:tblPrEx>
          <w:tblCellMar>
            <w:top w:w="0" w:type="dxa"/>
            <w:bottom w:w="0" w:type="dxa"/>
          </w:tblCellMar>
        </w:tblPrEx>
        <w:trPr>
          <w:gridAfter w:val="1"/>
          <w:wAfter w:w="2700" w:type="dxa"/>
        </w:trPr>
        <w:tc>
          <w:tcPr>
            <w:tcW w:w="2666"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What was the population distribution of planters and slaves? </w:t>
            </w:r>
          </w:p>
        </w:tc>
        <w:tc>
          <w:tcPr>
            <w:tcW w:w="3292"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Slaves in </w:t>
            </w:r>
          </w:p>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Wingdings" w:hAnsi="Wingdings" w:cs="Wingdings"/>
                <w:color w:val="000000"/>
                <w:sz w:val="18"/>
                <w:szCs w:val="18"/>
              </w:rPr>
              <w:t>􀂃</w:t>
            </w:r>
            <w:r w:rsidRPr="002401C4">
              <w:rPr>
                <w:rFonts w:ascii="Wingdings" w:hAnsi="Wingdings" w:cs="Wingdings"/>
                <w:color w:val="000000"/>
                <w:sz w:val="18"/>
                <w:szCs w:val="18"/>
              </w:rPr>
              <w:t></w:t>
            </w:r>
            <w:r w:rsidRPr="002401C4">
              <w:rPr>
                <w:rFonts w:ascii="BAJHIA+Arial" w:hAnsi="BAJHIA+Arial" w:cs="BAJHIA+Arial"/>
                <w:color w:val="000000"/>
                <w:sz w:val="18"/>
                <w:szCs w:val="18"/>
              </w:rPr>
              <w:t xml:space="preserve">Eastern NJ—iron work </w:t>
            </w:r>
          </w:p>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Wingdings" w:hAnsi="Wingdings" w:cs="Wingdings"/>
                <w:color w:val="000000"/>
                <w:sz w:val="20"/>
                <w:szCs w:val="20"/>
              </w:rPr>
              <w:t>􀂃</w:t>
            </w:r>
            <w:r w:rsidRPr="002401C4">
              <w:rPr>
                <w:rFonts w:ascii="Wingdings" w:hAnsi="Wingdings" w:cs="Wingdings"/>
                <w:color w:val="000000"/>
                <w:sz w:val="20"/>
                <w:szCs w:val="20"/>
              </w:rPr>
              <w:t></w:t>
            </w:r>
            <w:r w:rsidRPr="002401C4">
              <w:rPr>
                <w:rFonts w:ascii="BAJHIA+Arial" w:hAnsi="BAJHIA+Arial" w:cs="BAJHIA+Arial"/>
                <w:color w:val="000000"/>
                <w:sz w:val="18"/>
                <w:szCs w:val="18"/>
              </w:rPr>
              <w:t xml:space="preserve">Narragansett region of RI </w:t>
            </w:r>
          </w:p>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p>
        </w:tc>
        <w:tc>
          <w:tcPr>
            <w:tcW w:w="3420" w:type="dxa"/>
          </w:tcPr>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Ratio planter to # of slaves/servants: </w:t>
            </w:r>
          </w:p>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Wingdings" w:hAnsi="Wingdings" w:cs="Wingdings"/>
                <w:color w:val="000000"/>
                <w:sz w:val="18"/>
                <w:szCs w:val="18"/>
              </w:rPr>
              <w:t>􀂃</w:t>
            </w:r>
            <w:r w:rsidRPr="002401C4">
              <w:rPr>
                <w:rFonts w:ascii="Wingdings" w:hAnsi="Wingdings" w:cs="Wingdings"/>
                <w:color w:val="000000"/>
                <w:sz w:val="18"/>
                <w:szCs w:val="18"/>
              </w:rPr>
              <w:t></w:t>
            </w:r>
            <w:r w:rsidRPr="002401C4">
              <w:rPr>
                <w:rFonts w:ascii="BAJHIA+Arial" w:hAnsi="BAJHIA+Arial" w:cs="BAJHIA+Arial"/>
                <w:color w:val="000000"/>
                <w:sz w:val="18"/>
                <w:szCs w:val="18"/>
              </w:rPr>
              <w:t xml:space="preserve">1600s, 1 to usually under 30 </w:t>
            </w:r>
          </w:p>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Wingdings" w:hAnsi="Wingdings" w:cs="Wingdings"/>
                <w:color w:val="000000"/>
                <w:sz w:val="18"/>
                <w:szCs w:val="18"/>
              </w:rPr>
              <w:t>􀂃</w:t>
            </w:r>
            <w:r w:rsidRPr="002401C4">
              <w:rPr>
                <w:rFonts w:ascii="Wingdings" w:hAnsi="Wingdings" w:cs="Wingdings"/>
                <w:color w:val="000000"/>
                <w:sz w:val="18"/>
                <w:szCs w:val="18"/>
              </w:rPr>
              <w:t></w:t>
            </w:r>
            <w:r w:rsidRPr="002401C4">
              <w:rPr>
                <w:rFonts w:ascii="BAJHIA+Arial" w:hAnsi="BAJHIA+Arial" w:cs="BAJHIA+Arial"/>
                <w:color w:val="000000"/>
                <w:sz w:val="18"/>
                <w:szCs w:val="18"/>
              </w:rPr>
              <w:t xml:space="preserve">Early 1700s, 1 to 10-50+ </w:t>
            </w:r>
          </w:p>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p>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BAJHIA+Arial" w:hAnsi="BAJHIA+Arial" w:cs="BAJHIA+Arial"/>
                <w:color w:val="000000"/>
                <w:sz w:val="18"/>
                <w:szCs w:val="18"/>
              </w:rPr>
              <w:t xml:space="preserve">Early 1700s, slaves and plantation size: </w:t>
            </w:r>
          </w:p>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Wingdings" w:hAnsi="Wingdings" w:cs="Wingdings"/>
                <w:color w:val="000000"/>
                <w:sz w:val="18"/>
                <w:szCs w:val="18"/>
              </w:rPr>
              <w:t>􀂃</w:t>
            </w:r>
            <w:r w:rsidRPr="002401C4">
              <w:rPr>
                <w:rFonts w:ascii="Wingdings" w:hAnsi="Wingdings" w:cs="Wingdings"/>
                <w:color w:val="000000"/>
                <w:sz w:val="18"/>
                <w:szCs w:val="18"/>
              </w:rPr>
              <w:t></w:t>
            </w:r>
            <w:r w:rsidRPr="002401C4">
              <w:rPr>
                <w:rFonts w:ascii="BAJHIA+Arial" w:hAnsi="BAJHIA+Arial" w:cs="BAJHIA+Arial"/>
                <w:color w:val="000000"/>
                <w:sz w:val="18"/>
                <w:szCs w:val="18"/>
              </w:rPr>
              <w:t xml:space="preserve">¾ on plantations of 10+ slaves </w:t>
            </w:r>
          </w:p>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r w:rsidRPr="002401C4">
              <w:rPr>
                <w:rFonts w:ascii="Wingdings" w:hAnsi="Wingdings" w:cs="Wingdings"/>
                <w:color w:val="000000"/>
                <w:sz w:val="20"/>
                <w:szCs w:val="20"/>
              </w:rPr>
              <w:t>􀂃</w:t>
            </w:r>
            <w:r w:rsidRPr="002401C4">
              <w:rPr>
                <w:rFonts w:ascii="Wingdings" w:hAnsi="Wingdings" w:cs="Wingdings"/>
                <w:color w:val="000000"/>
                <w:sz w:val="20"/>
                <w:szCs w:val="20"/>
              </w:rPr>
              <w:t></w:t>
            </w:r>
            <w:r w:rsidRPr="002401C4">
              <w:rPr>
                <w:rFonts w:ascii="BAJHIA+Arial" w:hAnsi="BAJHIA+Arial" w:cs="BAJHIA+Arial"/>
                <w:color w:val="000000"/>
                <w:sz w:val="18"/>
                <w:szCs w:val="18"/>
              </w:rPr>
              <w:t xml:space="preserve">½ on plantations of 50+ slaves </w:t>
            </w:r>
          </w:p>
          <w:p w:rsidR="002401C4" w:rsidRPr="002401C4" w:rsidRDefault="002401C4" w:rsidP="002401C4">
            <w:pPr>
              <w:autoSpaceDE w:val="0"/>
              <w:autoSpaceDN w:val="0"/>
              <w:adjustRightInd w:val="0"/>
              <w:spacing w:after="0" w:line="240" w:lineRule="auto"/>
              <w:rPr>
                <w:rFonts w:ascii="BAJHIA+Arial" w:hAnsi="BAJHIA+Arial" w:cs="BAJHIA+Arial"/>
                <w:color w:val="000000"/>
                <w:sz w:val="18"/>
                <w:szCs w:val="18"/>
              </w:rPr>
            </w:pPr>
          </w:p>
        </w:tc>
      </w:tr>
    </w:tbl>
    <w:p w:rsidR="003421C3" w:rsidRPr="002401C4" w:rsidRDefault="002401C4" w:rsidP="002401C4"/>
    <w:sectPr w:rsidR="003421C3" w:rsidRPr="002401C4" w:rsidSect="002401C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JHKM+Arial,Bold">
    <w:altName w:val="Arial"/>
    <w:panose1 w:val="00000000000000000000"/>
    <w:charset w:val="00"/>
    <w:family w:val="swiss"/>
    <w:notTrueType/>
    <w:pitch w:val="default"/>
    <w:sig w:usb0="00000003" w:usb1="00000000" w:usb2="00000000" w:usb3="00000000" w:csb0="00000001" w:csb1="00000000"/>
  </w:font>
  <w:font w:name="BAJKFO+Arial,BoldItalic">
    <w:altName w:val="Arial"/>
    <w:panose1 w:val="00000000000000000000"/>
    <w:charset w:val="00"/>
    <w:family w:val="swiss"/>
    <w:notTrueType/>
    <w:pitch w:val="default"/>
    <w:sig w:usb0="00000003" w:usb1="00000000" w:usb2="00000000" w:usb3="00000000" w:csb0="00000001" w:csb1="00000000"/>
  </w:font>
  <w:font w:name="BAJHIA+Arial">
    <w:altName w:val="Arial"/>
    <w:panose1 w:val="00000000000000000000"/>
    <w:charset w:val="00"/>
    <w:family w:val="swiss"/>
    <w:notTrueType/>
    <w:pitch w:val="default"/>
    <w:sig w:usb0="00000003" w:usb1="00000000" w:usb2="00000000" w:usb3="00000000" w:csb0="00000001" w:csb1="00000000"/>
  </w:font>
  <w:font w:name="BAJLJD+Arial,Italic">
    <w:altName w:val="Arial"/>
    <w:panose1 w:val="00000000000000000000"/>
    <w:charset w:val="00"/>
    <w:family w:val="swiss"/>
    <w:notTrueType/>
    <w:pitch w:val="default"/>
    <w:sig w:usb0="00000003" w:usb1="00000000" w:usb2="00000000" w:usb3="00000000" w:csb0="00000001"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9A"/>
    <w:rsid w:val="00051D29"/>
    <w:rsid w:val="002401C4"/>
    <w:rsid w:val="00542FC7"/>
    <w:rsid w:val="0083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18583-0DEC-4FB2-A91E-CBE66665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1</cp:revision>
  <dcterms:created xsi:type="dcterms:W3CDTF">2018-09-10T23:50:00Z</dcterms:created>
  <dcterms:modified xsi:type="dcterms:W3CDTF">2018-09-11T01:09:00Z</dcterms:modified>
</cp:coreProperties>
</file>