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8"/>
        <w:gridCol w:w="5220"/>
        <w:gridCol w:w="7740"/>
        <w:gridCol w:w="180"/>
      </w:tblGrid>
      <w:tr w:rsidR="00000000">
        <w:trPr>
          <w:gridAfter w:val="1"/>
          <w:wAfter w:w="180" w:type="dxa"/>
        </w:trPr>
        <w:tc>
          <w:tcPr>
            <w:tcW w:w="13788" w:type="dxa"/>
            <w:gridSpan w:val="3"/>
            <w:tcBorders>
              <w:top w:val="nil"/>
              <w:left w:val="nil"/>
              <w:bottom w:val="single" w:sz="4" w:space="0" w:color="DDDDDD"/>
              <w:right w:val="nil"/>
            </w:tcBorders>
            <w:hideMark/>
          </w:tcPr>
          <w:p w:rsidR="00000000" w:rsidRDefault="00222D5D">
            <w:pPr>
              <w:pStyle w:val="Heading1"/>
              <w:spacing w:before="0"/>
              <w:rPr>
                <w:rFonts w:eastAsia="Times New Roman"/>
              </w:rPr>
            </w:pPr>
            <w:r>
              <w:rPr>
                <w:rFonts w:eastAsia="Times New Roman"/>
              </w:rPr>
              <w:t>Comparison of Farmer Events from 1869 through 1893 – and to the End of the 1890s</w:t>
            </w:r>
          </w:p>
        </w:tc>
      </w:tr>
      <w:tr w:rsidR="00000000" w:rsidTr="00D64BA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blHeader/>
        </w:trPr>
        <w:tc>
          <w:tcPr>
            <w:tcW w:w="828" w:type="dxa"/>
            <w:tcBorders>
              <w:top w:val="single" w:sz="4" w:space="0" w:color="999999"/>
              <w:left w:val="single" w:sz="4" w:space="0" w:color="999999"/>
              <w:bottom w:val="single" w:sz="4" w:space="0" w:color="999999"/>
              <w:right w:val="single" w:sz="4" w:space="0" w:color="999999"/>
            </w:tcBorders>
            <w:shd w:val="clear" w:color="auto" w:fill="999999"/>
            <w:hideMark/>
          </w:tcPr>
          <w:p w:rsidR="00000000" w:rsidRDefault="00222D5D">
            <w:pPr>
              <w:rPr>
                <w:b/>
                <w:bCs/>
                <w:sz w:val="28"/>
              </w:rPr>
            </w:pPr>
            <w:r>
              <w:rPr>
                <w:b/>
                <w:bCs/>
              </w:rPr>
              <w:t>Date</w:t>
            </w:r>
          </w:p>
        </w:tc>
        <w:tc>
          <w:tcPr>
            <w:tcW w:w="5220" w:type="dxa"/>
            <w:tcBorders>
              <w:top w:val="single" w:sz="4" w:space="0" w:color="999999"/>
              <w:left w:val="single" w:sz="4" w:space="0" w:color="999999"/>
              <w:bottom w:val="single" w:sz="4" w:space="0" w:color="999999"/>
              <w:right w:val="single" w:sz="4" w:space="0" w:color="999999"/>
            </w:tcBorders>
            <w:shd w:val="clear" w:color="auto" w:fill="999999"/>
            <w:hideMark/>
          </w:tcPr>
          <w:p w:rsidR="00000000" w:rsidRDefault="00222D5D">
            <w:pPr>
              <w:rPr>
                <w:b/>
                <w:bCs/>
                <w:sz w:val="28"/>
              </w:rPr>
            </w:pPr>
            <w:r>
              <w:rPr>
                <w:b/>
                <w:bCs/>
              </w:rPr>
              <w:t>Situation</w:t>
            </w:r>
          </w:p>
        </w:tc>
        <w:tc>
          <w:tcPr>
            <w:tcW w:w="7920" w:type="dxa"/>
            <w:gridSpan w:val="2"/>
            <w:tcBorders>
              <w:top w:val="single" w:sz="4" w:space="0" w:color="999999"/>
              <w:left w:val="single" w:sz="4" w:space="0" w:color="999999"/>
              <w:bottom w:val="single" w:sz="4" w:space="0" w:color="999999"/>
              <w:right w:val="single" w:sz="4" w:space="0" w:color="999999"/>
            </w:tcBorders>
            <w:shd w:val="clear" w:color="auto" w:fill="999999"/>
            <w:hideMark/>
          </w:tcPr>
          <w:p w:rsidR="00000000" w:rsidRDefault="00222D5D">
            <w:pPr>
              <w:rPr>
                <w:b/>
                <w:bCs/>
                <w:sz w:val="28"/>
              </w:rPr>
            </w:pPr>
            <w:r>
              <w:rPr>
                <w:b/>
                <w:bCs/>
              </w:rPr>
              <w:t>Farmer Events</w:t>
            </w:r>
          </w:p>
        </w:tc>
      </w:tr>
      <w:tr w:rsidR="00000000" w:rsidTr="00D64BA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828" w:type="dxa"/>
            <w:tcBorders>
              <w:top w:val="single" w:sz="4" w:space="0" w:color="999999"/>
              <w:left w:val="single" w:sz="4" w:space="0" w:color="999999"/>
              <w:bottom w:val="single" w:sz="4" w:space="0" w:color="999999"/>
              <w:right w:val="single" w:sz="4" w:space="0" w:color="999999"/>
            </w:tcBorders>
            <w:hideMark/>
          </w:tcPr>
          <w:p w:rsidR="00000000" w:rsidRDefault="00222D5D">
            <w:pPr>
              <w:rPr>
                <w:sz w:val="28"/>
              </w:rPr>
            </w:pPr>
            <w:r>
              <w:t>1867-12</w:t>
            </w:r>
          </w:p>
        </w:tc>
        <w:tc>
          <w:tcPr>
            <w:tcW w:w="5220" w:type="dxa"/>
            <w:tcBorders>
              <w:top w:val="single" w:sz="4" w:space="0" w:color="999999"/>
              <w:left w:val="single" w:sz="4" w:space="0" w:color="999999"/>
              <w:bottom w:val="single" w:sz="4" w:space="0" w:color="999999"/>
              <w:right w:val="single" w:sz="4" w:space="0" w:color="999999"/>
            </w:tcBorders>
            <w:hideMark/>
          </w:tcPr>
          <w:p w:rsidR="00000000" w:rsidRDefault="00222D5D">
            <w:pPr>
              <w:rPr>
                <w:bCs/>
              </w:rPr>
            </w:pPr>
            <w:r>
              <w:rPr>
                <w:bCs/>
              </w:rPr>
              <w:t>Farming requires equipment, more land than the Homestead Act</w:t>
            </w:r>
          </w:p>
          <w:p w:rsidR="00000000" w:rsidRDefault="00222D5D">
            <w:pPr>
              <w:rPr>
                <w:bCs/>
              </w:rPr>
            </w:pPr>
            <w:r>
              <w:rPr>
                <w:bCs/>
              </w:rPr>
              <w:t>Problem: 25% interest charged in Mid-West</w:t>
            </w:r>
          </w:p>
        </w:tc>
        <w:tc>
          <w:tcPr>
            <w:tcW w:w="7920" w:type="dxa"/>
            <w:gridSpan w:val="2"/>
            <w:tcBorders>
              <w:top w:val="single" w:sz="4" w:space="0" w:color="999999"/>
              <w:left w:val="single" w:sz="4" w:space="0" w:color="999999"/>
              <w:bottom w:val="single" w:sz="4" w:space="0" w:color="999999"/>
              <w:right w:val="single" w:sz="4" w:space="0" w:color="999999"/>
            </w:tcBorders>
            <w:hideMark/>
          </w:tcPr>
          <w:p w:rsidR="00000000" w:rsidRDefault="00085CAE">
            <w:pPr>
              <w:rPr>
                <w:bCs/>
                <w:sz w:val="28"/>
              </w:rPr>
            </w:pPr>
            <w:r>
              <w:rPr>
                <w:bCs/>
              </w:rPr>
              <w:t>-</w:t>
            </w:r>
          </w:p>
        </w:tc>
      </w:tr>
      <w:tr w:rsidR="00000000" w:rsidTr="00D64BA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828" w:type="dxa"/>
            <w:tcBorders>
              <w:top w:val="single" w:sz="4" w:space="0" w:color="999999"/>
              <w:left w:val="single" w:sz="4" w:space="0" w:color="999999"/>
              <w:bottom w:val="single" w:sz="4" w:space="0" w:color="999999"/>
              <w:right w:val="single" w:sz="4" w:space="0" w:color="999999"/>
            </w:tcBorders>
            <w:hideMark/>
          </w:tcPr>
          <w:p w:rsidR="00000000" w:rsidRDefault="00222D5D">
            <w:pPr>
              <w:rPr>
                <w:sz w:val="28"/>
              </w:rPr>
            </w:pPr>
            <w:r>
              <w:t>1874</w:t>
            </w:r>
          </w:p>
        </w:tc>
        <w:tc>
          <w:tcPr>
            <w:tcW w:w="5220" w:type="dxa"/>
            <w:tcBorders>
              <w:top w:val="single" w:sz="4" w:space="0" w:color="999999"/>
              <w:left w:val="single" w:sz="4" w:space="0" w:color="999999"/>
              <w:bottom w:val="single" w:sz="4" w:space="0" w:color="999999"/>
              <w:right w:val="single" w:sz="4" w:space="0" w:color="999999"/>
            </w:tcBorders>
            <w:hideMark/>
          </w:tcPr>
          <w:p w:rsidR="00000000" w:rsidRDefault="00222D5D">
            <w:pPr>
              <w:rPr>
                <w:bCs/>
              </w:rPr>
            </w:pPr>
            <w:r>
              <w:rPr>
                <w:bCs/>
              </w:rPr>
              <w:t>Continuing problems</w:t>
            </w:r>
          </w:p>
        </w:tc>
        <w:tc>
          <w:tcPr>
            <w:tcW w:w="7920" w:type="dxa"/>
            <w:gridSpan w:val="2"/>
            <w:tcBorders>
              <w:top w:val="single" w:sz="4" w:space="0" w:color="999999"/>
              <w:left w:val="single" w:sz="4" w:space="0" w:color="999999"/>
              <w:bottom w:val="single" w:sz="4" w:space="0" w:color="999999"/>
              <w:right w:val="single" w:sz="4" w:space="0" w:color="999999"/>
            </w:tcBorders>
            <w:hideMark/>
          </w:tcPr>
          <w:p w:rsidR="00000000" w:rsidRDefault="00085CAE">
            <w:pPr>
              <w:rPr>
                <w:bCs/>
                <w:sz w:val="28"/>
              </w:rPr>
            </w:pPr>
            <w:r>
              <w:rPr>
                <w:bCs/>
              </w:rPr>
              <w:t>-</w:t>
            </w:r>
          </w:p>
        </w:tc>
      </w:tr>
      <w:tr w:rsidR="00000000" w:rsidTr="00D64BA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828" w:type="dxa"/>
            <w:tcBorders>
              <w:top w:val="single" w:sz="4" w:space="0" w:color="999999"/>
              <w:left w:val="single" w:sz="4" w:space="0" w:color="999999"/>
              <w:bottom w:val="single" w:sz="4" w:space="0" w:color="999999"/>
              <w:right w:val="single" w:sz="4" w:space="0" w:color="999999"/>
            </w:tcBorders>
            <w:hideMark/>
          </w:tcPr>
          <w:p w:rsidR="00000000" w:rsidRDefault="00222D5D">
            <w:pPr>
              <w:rPr>
                <w:sz w:val="28"/>
              </w:rPr>
            </w:pPr>
            <w:r>
              <w:t>1877</w:t>
            </w:r>
          </w:p>
        </w:tc>
        <w:tc>
          <w:tcPr>
            <w:tcW w:w="5220" w:type="dxa"/>
            <w:tcBorders>
              <w:top w:val="single" w:sz="4" w:space="0" w:color="999999"/>
              <w:left w:val="single" w:sz="4" w:space="0" w:color="999999"/>
              <w:bottom w:val="single" w:sz="4" w:space="0" w:color="999999"/>
              <w:right w:val="single" w:sz="4" w:space="0" w:color="999999"/>
            </w:tcBorders>
            <w:hideMark/>
          </w:tcPr>
          <w:p w:rsidR="00000000" w:rsidRDefault="00222D5D">
            <w:r>
              <w:t>South out of Reconstruction</w:t>
            </w:r>
          </w:p>
          <w:p w:rsidR="00000000" w:rsidRDefault="00222D5D">
            <w:pPr>
              <w:numPr>
                <w:ilvl w:val="0"/>
                <w:numId w:val="5"/>
              </w:numPr>
            </w:pPr>
            <w:r>
              <w:t>Cotton up in quantity, down in price</w:t>
            </w:r>
          </w:p>
          <w:p w:rsidR="00000000" w:rsidRDefault="00222D5D">
            <w:pPr>
              <w:numPr>
                <w:ilvl w:val="0"/>
                <w:numId w:val="5"/>
              </w:numPr>
            </w:pPr>
            <w:r>
              <w:t xml:space="preserve">Cash </w:t>
            </w:r>
            <w:r>
              <w:t>poor; trend is to sharecropping and tenant farming</w:t>
            </w:r>
          </w:p>
          <w:p w:rsidR="00000000" w:rsidRDefault="00222D5D">
            <w:pPr>
              <w:numPr>
                <w:ilvl w:val="0"/>
                <w:numId w:val="5"/>
              </w:numPr>
            </w:pPr>
            <w:r>
              <w:t xml:space="preserve">50% interest in South Tip: See above the lower interest rate in the Mid-West. Why that difference? Ask if you don’t know. Compare that interest rate for loans (or a credit card) today. What does that tell </w:t>
            </w:r>
            <w:r>
              <w:t>you?</w:t>
            </w:r>
          </w:p>
        </w:tc>
        <w:tc>
          <w:tcPr>
            <w:tcW w:w="7920" w:type="dxa"/>
            <w:gridSpan w:val="2"/>
            <w:tcBorders>
              <w:top w:val="single" w:sz="4" w:space="0" w:color="999999"/>
              <w:left w:val="single" w:sz="4" w:space="0" w:color="999999"/>
              <w:bottom w:val="single" w:sz="4" w:space="0" w:color="999999"/>
              <w:right w:val="single" w:sz="4" w:space="0" w:color="999999"/>
            </w:tcBorders>
          </w:tcPr>
          <w:p w:rsidR="00000000" w:rsidRDefault="00D64BA5">
            <w:pPr>
              <w:rPr>
                <w:sz w:val="28"/>
              </w:rPr>
            </w:pPr>
            <w:r>
              <w:rPr>
                <w:sz w:val="28"/>
              </w:rPr>
              <w:t>-</w:t>
            </w:r>
          </w:p>
        </w:tc>
      </w:tr>
      <w:tr w:rsidR="00000000" w:rsidTr="00D64BA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828" w:type="dxa"/>
            <w:tcBorders>
              <w:top w:val="single" w:sz="4" w:space="0" w:color="999999"/>
              <w:left w:val="single" w:sz="4" w:space="0" w:color="999999"/>
              <w:bottom w:val="single" w:sz="4" w:space="0" w:color="999999"/>
              <w:right w:val="single" w:sz="4" w:space="0" w:color="999999"/>
            </w:tcBorders>
            <w:hideMark/>
          </w:tcPr>
          <w:p w:rsidR="00000000" w:rsidRDefault="00222D5D">
            <w:pPr>
              <w:rPr>
                <w:sz w:val="28"/>
              </w:rPr>
            </w:pPr>
            <w:r>
              <w:t>1886</w:t>
            </w:r>
          </w:p>
        </w:tc>
        <w:tc>
          <w:tcPr>
            <w:tcW w:w="5220" w:type="dxa"/>
            <w:tcBorders>
              <w:top w:val="single" w:sz="4" w:space="0" w:color="999999"/>
              <w:left w:val="single" w:sz="4" w:space="0" w:color="999999"/>
              <w:bottom w:val="single" w:sz="4" w:space="0" w:color="999999"/>
              <w:right w:val="single" w:sz="4" w:space="0" w:color="999999"/>
            </w:tcBorders>
            <w:hideMark/>
          </w:tcPr>
          <w:p w:rsidR="00000000" w:rsidRDefault="00222D5D">
            <w:r>
              <w:t>Southern situation harder for blacks</w:t>
            </w:r>
          </w:p>
        </w:tc>
        <w:tc>
          <w:tcPr>
            <w:tcW w:w="7920" w:type="dxa"/>
            <w:gridSpan w:val="2"/>
            <w:tcBorders>
              <w:top w:val="single" w:sz="4" w:space="0" w:color="999999"/>
              <w:left w:val="single" w:sz="4" w:space="0" w:color="999999"/>
              <w:bottom w:val="single" w:sz="4" w:space="0" w:color="999999"/>
              <w:right w:val="single" w:sz="4" w:space="0" w:color="999999"/>
            </w:tcBorders>
            <w:hideMark/>
          </w:tcPr>
          <w:p w:rsidR="00000000" w:rsidRDefault="00085CAE">
            <w:pPr>
              <w:rPr>
                <w:sz w:val="28"/>
              </w:rPr>
            </w:pPr>
            <w:r>
              <w:t>-</w:t>
            </w:r>
          </w:p>
        </w:tc>
      </w:tr>
      <w:tr w:rsidR="00000000" w:rsidTr="00D64BA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828" w:type="dxa"/>
            <w:tcBorders>
              <w:top w:val="single" w:sz="4" w:space="0" w:color="999999"/>
              <w:left w:val="single" w:sz="4" w:space="0" w:color="999999"/>
              <w:bottom w:val="single" w:sz="4" w:space="0" w:color="999999"/>
              <w:right w:val="single" w:sz="4" w:space="0" w:color="999999"/>
            </w:tcBorders>
            <w:hideMark/>
          </w:tcPr>
          <w:p w:rsidR="00000000" w:rsidRDefault="00222D5D">
            <w:pPr>
              <w:rPr>
                <w:sz w:val="28"/>
              </w:rPr>
            </w:pPr>
            <w:r>
              <w:t>1887</w:t>
            </w:r>
          </w:p>
        </w:tc>
        <w:tc>
          <w:tcPr>
            <w:tcW w:w="5220" w:type="dxa"/>
            <w:tcBorders>
              <w:top w:val="single" w:sz="4" w:space="0" w:color="999999"/>
              <w:left w:val="single" w:sz="4" w:space="0" w:color="999999"/>
              <w:bottom w:val="single" w:sz="4" w:space="0" w:color="999999"/>
              <w:right w:val="single" w:sz="4" w:space="0" w:color="999999"/>
            </w:tcBorders>
            <w:hideMark/>
          </w:tcPr>
          <w:p w:rsidR="00000000" w:rsidRDefault="00222D5D">
            <w:pPr>
              <w:rPr>
                <w:sz w:val="28"/>
              </w:rPr>
            </w:pPr>
            <w:r>
              <w:t>West blizzard</w:t>
            </w:r>
          </w:p>
        </w:tc>
        <w:tc>
          <w:tcPr>
            <w:tcW w:w="7920" w:type="dxa"/>
            <w:gridSpan w:val="2"/>
            <w:tcBorders>
              <w:top w:val="single" w:sz="4" w:space="0" w:color="999999"/>
              <w:left w:val="single" w:sz="4" w:space="0" w:color="999999"/>
              <w:bottom w:val="single" w:sz="4" w:space="0" w:color="999999"/>
              <w:right w:val="single" w:sz="4" w:space="0" w:color="999999"/>
            </w:tcBorders>
          </w:tcPr>
          <w:p w:rsidR="00000000" w:rsidRDefault="00D64BA5">
            <w:pPr>
              <w:rPr>
                <w:sz w:val="28"/>
              </w:rPr>
            </w:pPr>
            <w:r>
              <w:rPr>
                <w:sz w:val="28"/>
              </w:rPr>
              <w:t>-</w:t>
            </w:r>
          </w:p>
        </w:tc>
      </w:tr>
      <w:tr w:rsidR="00000000" w:rsidTr="00D64BA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828" w:type="dxa"/>
            <w:tcBorders>
              <w:top w:val="single" w:sz="4" w:space="0" w:color="999999"/>
              <w:left w:val="single" w:sz="4" w:space="0" w:color="999999"/>
              <w:bottom w:val="single" w:sz="4" w:space="0" w:color="999999"/>
              <w:right w:val="single" w:sz="4" w:space="0" w:color="999999"/>
            </w:tcBorders>
            <w:hideMark/>
          </w:tcPr>
          <w:p w:rsidR="00000000" w:rsidRDefault="00222D5D">
            <w:pPr>
              <w:rPr>
                <w:sz w:val="28"/>
              </w:rPr>
            </w:pPr>
            <w:r>
              <w:t>1890-11</w:t>
            </w:r>
          </w:p>
        </w:tc>
        <w:tc>
          <w:tcPr>
            <w:tcW w:w="5220" w:type="dxa"/>
            <w:tcBorders>
              <w:top w:val="single" w:sz="4" w:space="0" w:color="999999"/>
              <w:left w:val="single" w:sz="4" w:space="0" w:color="999999"/>
              <w:bottom w:val="single" w:sz="4" w:space="0" w:color="999999"/>
              <w:right w:val="single" w:sz="4" w:space="0" w:color="999999"/>
            </w:tcBorders>
            <w:hideMark/>
          </w:tcPr>
          <w:p w:rsidR="00000000" w:rsidRDefault="00222D5D">
            <w:r>
              <w:t xml:space="preserve">Republican losses; Farmers’ </w:t>
            </w:r>
            <w:smartTag w:uri="urn:schemas-microsoft-com:office:smarttags" w:element="City">
              <w:smartTag w:uri="urn:schemas-microsoft-com:office:smarttags" w:element="place">
                <w:r>
                  <w:t>Alliance</w:t>
                </w:r>
              </w:smartTag>
            </w:smartTag>
            <w:r>
              <w:t xml:space="preserve"> victories –</w:t>
            </w:r>
          </w:p>
          <w:p w:rsidR="00000000" w:rsidRDefault="00222D5D">
            <w:pPr>
              <w:rPr>
                <w:sz w:val="28"/>
              </w:rPr>
            </w:pPr>
            <w:r>
              <w:t>National move looks promising.</w:t>
            </w:r>
          </w:p>
        </w:tc>
        <w:tc>
          <w:tcPr>
            <w:tcW w:w="7920" w:type="dxa"/>
            <w:gridSpan w:val="2"/>
            <w:tcBorders>
              <w:top w:val="single" w:sz="4" w:space="0" w:color="999999"/>
              <w:left w:val="single" w:sz="4" w:space="0" w:color="999999"/>
              <w:bottom w:val="single" w:sz="4" w:space="0" w:color="999999"/>
              <w:right w:val="single" w:sz="4" w:space="0" w:color="999999"/>
            </w:tcBorders>
          </w:tcPr>
          <w:p w:rsidR="00000000" w:rsidRDefault="00D64BA5">
            <w:pPr>
              <w:rPr>
                <w:sz w:val="28"/>
              </w:rPr>
            </w:pPr>
            <w:r>
              <w:rPr>
                <w:sz w:val="28"/>
              </w:rPr>
              <w:t>-</w:t>
            </w:r>
          </w:p>
        </w:tc>
      </w:tr>
      <w:tr w:rsidR="00000000" w:rsidTr="00D64BA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828" w:type="dxa"/>
            <w:tcBorders>
              <w:top w:val="single" w:sz="4" w:space="0" w:color="999999"/>
              <w:left w:val="single" w:sz="4" w:space="0" w:color="999999"/>
              <w:bottom w:val="single" w:sz="4" w:space="0" w:color="999999"/>
              <w:right w:val="single" w:sz="4" w:space="0" w:color="999999"/>
            </w:tcBorders>
            <w:hideMark/>
          </w:tcPr>
          <w:p w:rsidR="00000000" w:rsidRDefault="00222D5D">
            <w:pPr>
              <w:rPr>
                <w:sz w:val="28"/>
              </w:rPr>
            </w:pPr>
            <w:r>
              <w:t>1890-12</w:t>
            </w:r>
          </w:p>
        </w:tc>
        <w:tc>
          <w:tcPr>
            <w:tcW w:w="5220" w:type="dxa"/>
            <w:tcBorders>
              <w:top w:val="single" w:sz="4" w:space="0" w:color="999999"/>
              <w:left w:val="single" w:sz="4" w:space="0" w:color="999999"/>
              <w:bottom w:val="single" w:sz="4" w:space="0" w:color="999999"/>
              <w:right w:val="single" w:sz="4" w:space="0" w:color="999999"/>
            </w:tcBorders>
          </w:tcPr>
          <w:p w:rsidR="00000000" w:rsidRDefault="00D64BA5">
            <w:r>
              <w:t>-</w:t>
            </w:r>
          </w:p>
        </w:tc>
        <w:tc>
          <w:tcPr>
            <w:tcW w:w="7920" w:type="dxa"/>
            <w:gridSpan w:val="2"/>
            <w:tcBorders>
              <w:top w:val="single" w:sz="4" w:space="0" w:color="999999"/>
              <w:left w:val="single" w:sz="4" w:space="0" w:color="999999"/>
              <w:bottom w:val="single" w:sz="4" w:space="0" w:color="999999"/>
              <w:right w:val="single" w:sz="4" w:space="0" w:color="999999"/>
            </w:tcBorders>
          </w:tcPr>
          <w:p w:rsidR="00085CAE" w:rsidRDefault="00222D5D">
            <w:smartTag w:uri="urn:schemas-microsoft-com:office:smarttags" w:element="City">
              <w:r>
                <w:t>Ocala</w:t>
              </w:r>
            </w:smartTag>
            <w:r>
              <w:t xml:space="preserve">, </w:t>
            </w:r>
            <w:smartTag w:uri="urn:schemas-microsoft-com:office:smarttags" w:element="State">
              <w:r>
                <w:t>Fla.</w:t>
              </w:r>
            </w:smartTag>
            <w:r>
              <w:t xml:space="preserve"> </w:t>
            </w:r>
            <w:r>
              <w:t>meeting =</w:t>
            </w:r>
          </w:p>
          <w:p w:rsidR="00085CAE" w:rsidRDefault="00085CAE"/>
          <w:p w:rsidR="00000000" w:rsidRDefault="00222D5D">
            <w:bookmarkStart w:id="0" w:name="_GoBack"/>
            <w:bookmarkEnd w:id="0"/>
            <w:r>
              <w:t>Advocate economic changes:</w:t>
            </w:r>
          </w:p>
          <w:p w:rsidR="00000000" w:rsidRDefault="00222D5D">
            <w:pPr>
              <w:numPr>
                <w:ilvl w:val="0"/>
                <w:numId w:val="5"/>
              </w:numPr>
            </w:pPr>
          </w:p>
          <w:p w:rsidR="00000000" w:rsidRDefault="00222D5D">
            <w:pPr>
              <w:numPr>
                <w:ilvl w:val="0"/>
                <w:numId w:val="5"/>
              </w:numPr>
            </w:pPr>
          </w:p>
          <w:p w:rsidR="00000000" w:rsidRDefault="00222D5D">
            <w:pPr>
              <w:numPr>
                <w:ilvl w:val="0"/>
                <w:numId w:val="5"/>
              </w:numPr>
            </w:pPr>
          </w:p>
          <w:p w:rsidR="00000000" w:rsidRDefault="00222D5D">
            <w:pPr>
              <w:numPr>
                <w:ilvl w:val="0"/>
                <w:numId w:val="5"/>
              </w:numPr>
            </w:pPr>
          </w:p>
          <w:p w:rsidR="00000000" w:rsidRDefault="00222D5D">
            <w:pPr>
              <w:ind w:left="288"/>
            </w:pPr>
          </w:p>
          <w:p w:rsidR="00000000" w:rsidRDefault="00222D5D">
            <w:r>
              <w:t>Advocate governmental changes;</w:t>
            </w:r>
          </w:p>
          <w:p w:rsidR="00000000" w:rsidRDefault="00222D5D">
            <w:pPr>
              <w:numPr>
                <w:ilvl w:val="0"/>
                <w:numId w:val="7"/>
              </w:numPr>
            </w:pPr>
            <w:r>
              <w:t>Income tax</w:t>
            </w:r>
          </w:p>
          <w:p w:rsidR="00000000" w:rsidRDefault="00222D5D" w:rsidP="00D64BA5">
            <w:pPr>
              <w:numPr>
                <w:ilvl w:val="0"/>
                <w:numId w:val="7"/>
              </w:numPr>
            </w:pPr>
            <w:r>
              <w:t>Direct election of Senators (</w:t>
            </w:r>
            <w:r w:rsidR="00D64BA5">
              <w:t xml:space="preserve">Tip: </w:t>
            </w:r>
            <w:r>
              <w:t xml:space="preserve">Check the Constitution </w:t>
            </w:r>
            <w:r w:rsidR="00D64BA5">
              <w:t>for on this eventual amendment to the Constitution.)</w:t>
            </w:r>
          </w:p>
          <w:p w:rsidR="00D64BA5" w:rsidRDefault="00D64BA5" w:rsidP="00D64BA5">
            <w:pPr>
              <w:ind w:left="648"/>
            </w:pPr>
          </w:p>
        </w:tc>
      </w:tr>
      <w:tr w:rsidR="00000000" w:rsidTr="00D64BA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828" w:type="dxa"/>
            <w:tcBorders>
              <w:top w:val="single" w:sz="4" w:space="0" w:color="999999"/>
              <w:left w:val="single" w:sz="4" w:space="0" w:color="999999"/>
              <w:bottom w:val="single" w:sz="4" w:space="0" w:color="999999"/>
              <w:right w:val="single" w:sz="4" w:space="0" w:color="999999"/>
            </w:tcBorders>
          </w:tcPr>
          <w:p w:rsidR="00000000" w:rsidRDefault="00222D5D"/>
        </w:tc>
        <w:tc>
          <w:tcPr>
            <w:tcW w:w="5220" w:type="dxa"/>
            <w:tcBorders>
              <w:top w:val="single" w:sz="4" w:space="0" w:color="999999"/>
              <w:left w:val="single" w:sz="4" w:space="0" w:color="999999"/>
              <w:bottom w:val="single" w:sz="4" w:space="0" w:color="999999"/>
              <w:right w:val="single" w:sz="4" w:space="0" w:color="999999"/>
            </w:tcBorders>
          </w:tcPr>
          <w:p w:rsidR="00000000" w:rsidRDefault="00222D5D"/>
        </w:tc>
        <w:tc>
          <w:tcPr>
            <w:tcW w:w="7920" w:type="dxa"/>
            <w:gridSpan w:val="2"/>
            <w:tcBorders>
              <w:top w:val="single" w:sz="4" w:space="0" w:color="999999"/>
              <w:left w:val="single" w:sz="4" w:space="0" w:color="999999"/>
              <w:bottom w:val="single" w:sz="4" w:space="0" w:color="999999"/>
              <w:right w:val="single" w:sz="4" w:space="0" w:color="999999"/>
            </w:tcBorders>
            <w:hideMark/>
          </w:tcPr>
          <w:p w:rsidR="00000000" w:rsidRDefault="00222D5D">
            <w:r>
              <w:t>1891 – strike – Colored Alliance – 15 lynched</w:t>
            </w:r>
          </w:p>
        </w:tc>
      </w:tr>
      <w:tr w:rsidR="00000000" w:rsidTr="00D64BA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828" w:type="dxa"/>
            <w:tcBorders>
              <w:top w:val="single" w:sz="4" w:space="0" w:color="999999"/>
              <w:left w:val="single" w:sz="4" w:space="0" w:color="999999"/>
              <w:bottom w:val="single" w:sz="4" w:space="0" w:color="999999"/>
              <w:right w:val="single" w:sz="4" w:space="0" w:color="999999"/>
            </w:tcBorders>
            <w:hideMark/>
          </w:tcPr>
          <w:p w:rsidR="00000000" w:rsidRDefault="00222D5D">
            <w:pPr>
              <w:rPr>
                <w:sz w:val="28"/>
              </w:rPr>
            </w:pPr>
            <w:r>
              <w:t>189</w:t>
            </w:r>
            <w:r>
              <w:t>2-11</w:t>
            </w:r>
          </w:p>
        </w:tc>
        <w:tc>
          <w:tcPr>
            <w:tcW w:w="5220" w:type="dxa"/>
            <w:tcBorders>
              <w:top w:val="single" w:sz="4" w:space="0" w:color="999999"/>
              <w:left w:val="single" w:sz="4" w:space="0" w:color="999999"/>
              <w:bottom w:val="single" w:sz="4" w:space="0" w:color="999999"/>
              <w:right w:val="single" w:sz="4" w:space="0" w:color="999999"/>
            </w:tcBorders>
            <w:hideMark/>
          </w:tcPr>
          <w:p w:rsidR="00000000" w:rsidRDefault="00222D5D">
            <w:r>
              <w:t>Approach through the state legislatures is insufficient – turn to national politics as a 3</w:t>
            </w:r>
            <w:r>
              <w:rPr>
                <w:vertAlign w:val="superscript"/>
              </w:rPr>
              <w:t>rd</w:t>
            </w:r>
            <w:r>
              <w:t xml:space="preserve"> party</w:t>
            </w:r>
          </w:p>
        </w:tc>
        <w:tc>
          <w:tcPr>
            <w:tcW w:w="7920" w:type="dxa"/>
            <w:gridSpan w:val="2"/>
            <w:tcBorders>
              <w:top w:val="single" w:sz="4" w:space="0" w:color="999999"/>
              <w:left w:val="single" w:sz="4" w:space="0" w:color="999999"/>
              <w:bottom w:val="single" w:sz="4" w:space="0" w:color="999999"/>
              <w:right w:val="single" w:sz="4" w:space="0" w:color="999999"/>
            </w:tcBorders>
            <w:hideMark/>
          </w:tcPr>
          <w:p w:rsidR="00000000" w:rsidRDefault="00222D5D">
            <w:pPr>
              <w:rPr>
                <w:b/>
                <w:bCs/>
              </w:rPr>
            </w:pPr>
            <w:r>
              <w:t xml:space="preserve">James B. Weaver v. Harrison v. </w:t>
            </w:r>
            <w:smartTag w:uri="urn:schemas-microsoft-com:office:smarttags" w:element="City">
              <w:smartTag w:uri="urn:schemas-microsoft-com:office:smarttags" w:element="place">
                <w:r>
                  <w:rPr>
                    <w:b/>
                    <w:bCs/>
                  </w:rPr>
                  <w:t>Cleveland</w:t>
                </w:r>
              </w:smartTag>
            </w:smartTag>
          </w:p>
          <w:p w:rsidR="00000000" w:rsidRDefault="00222D5D">
            <w:pPr>
              <w:rPr>
                <w:sz w:val="28"/>
              </w:rPr>
            </w:pPr>
            <w:r>
              <w:rPr>
                <w:b/>
                <w:bCs/>
              </w:rPr>
              <w:t>Populist v. Republican v. Democrats -</w:t>
            </w:r>
            <w:r>
              <w:rPr>
                <w:b/>
                <w:bCs/>
                <w:i/>
                <w:iCs/>
              </w:rPr>
              <w:t xml:space="preserve"> Amazing climb for a 3</w:t>
            </w:r>
            <w:r>
              <w:rPr>
                <w:b/>
                <w:bCs/>
                <w:i/>
                <w:iCs/>
                <w:vertAlign w:val="superscript"/>
              </w:rPr>
              <w:t>rd</w:t>
            </w:r>
            <w:r>
              <w:rPr>
                <w:b/>
                <w:bCs/>
                <w:i/>
                <w:iCs/>
              </w:rPr>
              <w:t xml:space="preserve"> party.</w:t>
            </w:r>
          </w:p>
        </w:tc>
      </w:tr>
      <w:tr w:rsidR="00000000" w:rsidTr="00D64BA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828" w:type="dxa"/>
            <w:tcBorders>
              <w:top w:val="single" w:sz="4" w:space="0" w:color="999999"/>
              <w:left w:val="single" w:sz="4" w:space="0" w:color="999999"/>
              <w:bottom w:val="single" w:sz="4" w:space="0" w:color="999999"/>
              <w:right w:val="single" w:sz="4" w:space="0" w:color="999999"/>
            </w:tcBorders>
            <w:hideMark/>
          </w:tcPr>
          <w:p w:rsidR="00000000" w:rsidRDefault="00222D5D">
            <w:pPr>
              <w:rPr>
                <w:sz w:val="28"/>
              </w:rPr>
            </w:pPr>
            <w:r>
              <w:t>1896-11</w:t>
            </w:r>
          </w:p>
        </w:tc>
        <w:tc>
          <w:tcPr>
            <w:tcW w:w="5220" w:type="dxa"/>
            <w:tcBorders>
              <w:top w:val="single" w:sz="4" w:space="0" w:color="999999"/>
              <w:left w:val="single" w:sz="4" w:space="0" w:color="999999"/>
              <w:bottom w:val="single" w:sz="4" w:space="0" w:color="999999"/>
              <w:right w:val="single" w:sz="4" w:space="0" w:color="999999"/>
            </w:tcBorders>
            <w:hideMark/>
          </w:tcPr>
          <w:p w:rsidR="00000000" w:rsidRDefault="00222D5D">
            <w:smartTag w:uri="urn:schemas-microsoft-com:office:smarttags" w:element="City">
              <w:smartTag w:uri="urn:schemas-microsoft-com:office:smarttags" w:element="place">
                <w:r>
                  <w:t>Bryan</w:t>
                </w:r>
              </w:smartTag>
            </w:smartTag>
            <w:r>
              <w:t xml:space="preserve">’s </w:t>
            </w:r>
            <w:r>
              <w:t>“Cross of Gold” speech at Democratic Convention corners Populists into having to back the Democrat</w:t>
            </w:r>
          </w:p>
        </w:tc>
        <w:tc>
          <w:tcPr>
            <w:tcW w:w="7920" w:type="dxa"/>
            <w:gridSpan w:val="2"/>
            <w:tcBorders>
              <w:top w:val="single" w:sz="4" w:space="0" w:color="999999"/>
              <w:left w:val="single" w:sz="4" w:space="0" w:color="999999"/>
              <w:bottom w:val="single" w:sz="4" w:space="0" w:color="999999"/>
              <w:right w:val="single" w:sz="4" w:space="0" w:color="999999"/>
            </w:tcBorders>
          </w:tcPr>
          <w:p w:rsidR="00000000" w:rsidRDefault="00222D5D">
            <w:r>
              <w:t xml:space="preserve">William McKinley vs. William </w:t>
            </w:r>
            <w:smartTag w:uri="urn:schemas-microsoft-com:office:smarttags" w:element="City">
              <w:r>
                <w:t>Jennings</w:t>
              </w:r>
            </w:smartTag>
            <w:r>
              <w:t xml:space="preserve"> </w:t>
            </w:r>
            <w:smartTag w:uri="urn:schemas-microsoft-com:office:smarttags" w:element="City">
              <w:smartTag w:uri="urn:schemas-microsoft-com:office:smarttags" w:element="place">
                <w:r>
                  <w:t>Bryan</w:t>
                </w:r>
              </w:smartTag>
            </w:smartTag>
          </w:p>
          <w:p w:rsidR="00000000" w:rsidRDefault="00222D5D">
            <w:r>
              <w:t xml:space="preserve">Republican v. Democrat/Populist – </w:t>
            </w:r>
            <w:r>
              <w:rPr>
                <w:i/>
                <w:iCs/>
              </w:rPr>
              <w:t>And amazingly quick decline</w:t>
            </w:r>
          </w:p>
          <w:p w:rsidR="00000000" w:rsidRDefault="00222D5D">
            <w:pPr>
              <w:rPr>
                <w:sz w:val="28"/>
              </w:rPr>
            </w:pPr>
          </w:p>
        </w:tc>
      </w:tr>
    </w:tbl>
    <w:p w:rsidR="00000000" w:rsidRDefault="00222D5D"/>
    <w:p w:rsidR="00000000" w:rsidRDefault="00222D5D">
      <w:pPr>
        <w:pStyle w:val="Heading2"/>
      </w:pPr>
      <w:bookmarkStart w:id="1" w:name="_Comment_on_the"/>
      <w:bookmarkEnd w:id="1"/>
      <w:r>
        <w:t>Comment on the farmers:</w:t>
      </w:r>
    </w:p>
    <w:p w:rsidR="00000000" w:rsidRDefault="00222D5D">
      <w:r>
        <w:t>The farmers had been the heroes of America since its founding. The idea fro</w:t>
      </w:r>
      <w:r>
        <w:t xml:space="preserve">m Jefferson’s time was that a free farmer could say no to power because they were able to support themselves. For the republic to exist, they had to have voters who were not dependent on the rich and therefore could vote their conscience and not what they </w:t>
      </w:r>
      <w:r>
        <w:t xml:space="preserve">were ordered to do. Think about that a bit. </w:t>
      </w:r>
    </w:p>
    <w:p w:rsidR="00000000" w:rsidRDefault="00222D5D"/>
    <w:p w:rsidR="00000000" w:rsidRDefault="00222D5D">
      <w:r>
        <w:t>In this window of time, they are trying to save America, not just themselves. They are trying to stop monopoly and the use of legal power to do things many of us would call a corrupt use of power. They are even</w:t>
      </w:r>
      <w:r>
        <w:t xml:space="preserve"> calling for amendments to the Constitution</w:t>
      </w:r>
    </w:p>
    <w:p w:rsidR="00000000" w:rsidRDefault="00222D5D">
      <w:pPr>
        <w:pStyle w:val="ListParagraph"/>
        <w:numPr>
          <w:ilvl w:val="0"/>
          <w:numId w:val="9"/>
        </w:numPr>
      </w:pPr>
      <w:r>
        <w:t>Look at the reasons for the income tax.  At this time, what was our chief source of national income and who paid it? Who would pay the income tax they planned (not what happened later) and that did happen INITIAL</w:t>
      </w:r>
      <w:r>
        <w:t>LY? If you don’t know, ask.</w:t>
      </w:r>
    </w:p>
    <w:p w:rsidR="00000000" w:rsidRDefault="00222D5D">
      <w:pPr>
        <w:pStyle w:val="ListParagraph"/>
        <w:numPr>
          <w:ilvl w:val="0"/>
          <w:numId w:val="9"/>
        </w:numPr>
      </w:pPr>
      <w:r>
        <w:t>Look at the reasons for direct elections of senators instead of having the state legislatures choose them. If you don’t know, ask.</w:t>
      </w:r>
    </w:p>
    <w:p w:rsidR="00000000" w:rsidRDefault="00222D5D"/>
    <w:p w:rsidR="00000000" w:rsidRDefault="00222D5D">
      <w:r>
        <w:t>The Populists</w:t>
      </w:r>
      <w:r w:rsidR="007057B0">
        <w:t xml:space="preserve"> and the farmers were ridiculed. By the 1920s, farmers</w:t>
      </w:r>
      <w:r>
        <w:t xml:space="preserve"> are poorer and less well educated than the rest of the population and they</w:t>
      </w:r>
      <w:r w:rsidR="007057B0">
        <w:t xml:space="preserve"> were discredited. The reality </w:t>
      </w:r>
      <w:r>
        <w:t>is that many of the things they advocated happened and they made a difference at that time—including those</w:t>
      </w:r>
      <w:r>
        <w:t xml:space="preserve"> 2 amendments.</w:t>
      </w:r>
    </w:p>
    <w:p w:rsidR="00000000" w:rsidRDefault="00222D5D"/>
    <w:p w:rsidR="00000000" w:rsidRDefault="00222D5D">
      <w:pPr>
        <w:jc w:val="center"/>
        <w:rPr>
          <w:sz w:val="16"/>
        </w:rPr>
      </w:pPr>
      <w:r>
        <w:rPr>
          <w:sz w:val="16"/>
        </w:rPr>
        <w:t>Copyright C. J. Bibus, Ed.D. 2003-</w:t>
      </w:r>
      <w:r w:rsidR="00D64BA5">
        <w:rPr>
          <w:sz w:val="16"/>
        </w:rPr>
        <w:t>2015</w:t>
      </w:r>
    </w:p>
    <w:p w:rsidR="00000000" w:rsidRDefault="00222D5D">
      <w:pPr>
        <w:rPr>
          <w:sz w:val="18"/>
        </w:rPr>
      </w:pPr>
    </w:p>
    <w:tbl>
      <w:tblPr>
        <w:tblW w:w="0" w:type="auto"/>
        <w:tblLook w:val="04A0" w:firstRow="1" w:lastRow="0" w:firstColumn="1" w:lastColumn="0" w:noHBand="0" w:noVBand="1"/>
      </w:tblPr>
      <w:tblGrid>
        <w:gridCol w:w="2322"/>
        <w:gridCol w:w="6534"/>
      </w:tblGrid>
      <w:tr w:rsidR="00000000">
        <w:tc>
          <w:tcPr>
            <w:tcW w:w="2322" w:type="dxa"/>
            <w:hideMark/>
          </w:tcPr>
          <w:p w:rsidR="00000000" w:rsidRDefault="00222D5D">
            <w:pPr>
              <w:rPr>
                <w:b/>
                <w:bCs/>
              </w:rPr>
            </w:pPr>
            <w:r>
              <w:rPr>
                <w:b/>
                <w:bCs/>
              </w:rPr>
              <w:t>WCJC Department:</w:t>
            </w:r>
          </w:p>
        </w:tc>
        <w:tc>
          <w:tcPr>
            <w:tcW w:w="6534" w:type="dxa"/>
            <w:hideMark/>
          </w:tcPr>
          <w:p w:rsidR="00000000" w:rsidRDefault="00222D5D">
            <w:r>
              <w:t>History – Dr. Bibus</w:t>
            </w:r>
          </w:p>
        </w:tc>
      </w:tr>
      <w:tr w:rsidR="00000000">
        <w:tc>
          <w:tcPr>
            <w:tcW w:w="2322" w:type="dxa"/>
            <w:hideMark/>
          </w:tcPr>
          <w:p w:rsidR="00000000" w:rsidRDefault="00222D5D">
            <w:pPr>
              <w:rPr>
                <w:b/>
                <w:bCs/>
              </w:rPr>
            </w:pPr>
            <w:r>
              <w:rPr>
                <w:b/>
                <w:bCs/>
              </w:rPr>
              <w:t>Contact Information:</w:t>
            </w:r>
          </w:p>
        </w:tc>
        <w:tc>
          <w:tcPr>
            <w:tcW w:w="6534" w:type="dxa"/>
            <w:hideMark/>
          </w:tcPr>
          <w:p w:rsidR="00000000" w:rsidRDefault="00222D5D" w:rsidP="00D64BA5">
            <w:r>
              <w:t xml:space="preserve">281.239.1577 or </w:t>
            </w:r>
            <w:hyperlink r:id="rId6" w:history="1">
              <w:r w:rsidR="007057B0" w:rsidRPr="00811699">
                <w:rPr>
                  <w:rStyle w:val="Hyperlink"/>
                </w:rPr>
                <w:t>bibusc@wcjc.edu</w:t>
              </w:r>
            </w:hyperlink>
            <w:r w:rsidR="007057B0">
              <w:t xml:space="preserve"> </w:t>
            </w:r>
          </w:p>
        </w:tc>
      </w:tr>
      <w:tr w:rsidR="00000000">
        <w:tc>
          <w:tcPr>
            <w:tcW w:w="2322" w:type="dxa"/>
            <w:hideMark/>
          </w:tcPr>
          <w:p w:rsidR="00000000" w:rsidRDefault="00222D5D">
            <w:pPr>
              <w:rPr>
                <w:b/>
                <w:bCs/>
              </w:rPr>
            </w:pPr>
            <w:r>
              <w:rPr>
                <w:b/>
                <w:bCs/>
              </w:rPr>
              <w:t>Last Updated:</w:t>
            </w:r>
          </w:p>
        </w:tc>
        <w:tc>
          <w:tcPr>
            <w:tcW w:w="6534" w:type="dxa"/>
            <w:hideMark/>
          </w:tcPr>
          <w:p w:rsidR="00000000" w:rsidRDefault="00D64BA5">
            <w:r>
              <w:t>2015</w:t>
            </w:r>
          </w:p>
        </w:tc>
      </w:tr>
      <w:tr w:rsidR="00000000">
        <w:tc>
          <w:tcPr>
            <w:tcW w:w="2322" w:type="dxa"/>
            <w:hideMark/>
          </w:tcPr>
          <w:p w:rsidR="00000000" w:rsidRDefault="00222D5D">
            <w:pPr>
              <w:rPr>
                <w:b/>
                <w:bCs/>
              </w:rPr>
            </w:pPr>
            <w:r>
              <w:rPr>
                <w:b/>
                <w:bCs/>
              </w:rPr>
              <w:t>WCJC Home:</w:t>
            </w:r>
          </w:p>
        </w:tc>
        <w:tc>
          <w:tcPr>
            <w:tcW w:w="6534" w:type="dxa"/>
            <w:hideMark/>
          </w:tcPr>
          <w:p w:rsidR="00000000" w:rsidRDefault="00222D5D">
            <w:hyperlink r:id="rId7" w:history="1">
              <w:r>
                <w:rPr>
                  <w:rStyle w:val="Hyperlink"/>
                </w:rPr>
                <w:t>http://www.wcjc.edu/</w:t>
              </w:r>
            </w:hyperlink>
          </w:p>
        </w:tc>
      </w:tr>
    </w:tbl>
    <w:p w:rsidR="00000000" w:rsidRDefault="00222D5D">
      <w:pPr>
        <w:rPr>
          <w:sz w:val="18"/>
        </w:rPr>
      </w:pPr>
    </w:p>
    <w:p w:rsidR="00222D5D" w:rsidRDefault="00222D5D">
      <w:pPr>
        <w:jc w:val="center"/>
        <w:rPr>
          <w:sz w:val="16"/>
        </w:rPr>
      </w:pPr>
    </w:p>
    <w:sectPr w:rsidR="00222D5D">
      <w:pgSz w:w="15840" w:h="12240" w:orient="landscape"/>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16A97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6B557A5"/>
    <w:multiLevelType w:val="hybridMultilevel"/>
    <w:tmpl w:val="29980002"/>
    <w:lvl w:ilvl="0" w:tplc="4FDAE27A">
      <w:start w:val="1"/>
      <w:numFmt w:val="bullet"/>
      <w:lvlText w:val=""/>
      <w:lvlJc w:val="left"/>
      <w:pPr>
        <w:tabs>
          <w:tab w:val="num" w:pos="648"/>
        </w:tabs>
        <w:ind w:left="648"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7375986"/>
    <w:multiLevelType w:val="hybridMultilevel"/>
    <w:tmpl w:val="823CE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9154B06"/>
    <w:multiLevelType w:val="hybridMultilevel"/>
    <w:tmpl w:val="D93C4A54"/>
    <w:lvl w:ilvl="0" w:tplc="4FDAE27A">
      <w:start w:val="1"/>
      <w:numFmt w:val="bullet"/>
      <w:lvlText w:val=""/>
      <w:lvlJc w:val="left"/>
      <w:pPr>
        <w:tabs>
          <w:tab w:val="num" w:pos="648"/>
        </w:tabs>
        <w:ind w:left="648"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 w:numId="3">
    <w:abstractNumId w:val="0"/>
    <w:lvlOverride w:ilvl="0"/>
  </w:num>
  <w:num w:numId="4">
    <w:abstractNumId w:val="1"/>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linkStyles/>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D64BA5"/>
    <w:rsid w:val="00085CAE"/>
    <w:rsid w:val="000A4384"/>
    <w:rsid w:val="00222D5D"/>
    <w:rsid w:val="002E2221"/>
    <w:rsid w:val="0070436E"/>
    <w:rsid w:val="007057B0"/>
    <w:rsid w:val="00AA0E63"/>
    <w:rsid w:val="00D64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Cs w:val="24"/>
    </w:rPr>
  </w:style>
  <w:style w:type="character" w:customStyle="1" w:styleId="Heading7Char">
    <w:name w:val="Heading 7 Char"/>
    <w:basedOn w:val="DefaultParagraphFont"/>
    <w:link w:val="Heading7"/>
    <w:locked/>
    <w:rPr>
      <w:rFonts w:asciiTheme="majorHAnsi" w:eastAsiaTheme="majorEastAsia" w:hAnsiTheme="majorHAnsi" w:cstheme="majorBidi" w:hint="default"/>
      <w:i/>
      <w:iCs/>
      <w:color w:val="404040" w:themeColor="text1" w:themeTint="BF"/>
      <w:szCs w:val="24"/>
    </w:rPr>
  </w:style>
  <w:style w:type="character" w:customStyle="1" w:styleId="Heading8Char">
    <w:name w:val="Heading 8 Char"/>
    <w:basedOn w:val="DefaultParagraphFont"/>
    <w:link w:val="Heading8"/>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locked/>
    <w:rPr>
      <w:rFonts w:asciiTheme="majorHAnsi" w:eastAsiaTheme="majorEastAsia" w:hAnsiTheme="majorHAnsi" w:cstheme="majorBidi" w:hint="default"/>
      <w:i/>
      <w:iCs/>
      <w:color w:val="404040" w:themeColor="text1" w:themeTint="BF"/>
    </w:rPr>
  </w:style>
  <w:style w:type="paragraph" w:styleId="TOC1">
    <w:name w:val="toc 1"/>
    <w:basedOn w:val="Normal"/>
    <w:next w:val="Normal"/>
    <w:autoRedefine/>
  </w:style>
  <w:style w:type="paragraph" w:styleId="TOC2">
    <w:name w:val="toc 2"/>
    <w:basedOn w:val="Normal"/>
    <w:next w:val="Normal"/>
    <w:autoRedefine/>
    <w:pPr>
      <w:ind w:left="200"/>
    </w:pPr>
  </w:style>
  <w:style w:type="paragraph" w:styleId="TOC3">
    <w:name w:val="toc 3"/>
    <w:basedOn w:val="Normal"/>
    <w:next w:val="Normal"/>
    <w:autoRedefine/>
    <w:pPr>
      <w:ind w:left="400"/>
    </w:pPr>
  </w:style>
  <w:style w:type="paragraph" w:styleId="TOC4">
    <w:name w:val="toc 4"/>
    <w:basedOn w:val="Normal"/>
    <w:next w:val="Normal"/>
    <w:autoRedefine/>
    <w:pPr>
      <w:ind w:left="600"/>
    </w:pPr>
  </w:style>
  <w:style w:type="paragraph" w:styleId="TOC5">
    <w:name w:val="toc 5"/>
    <w:basedOn w:val="Normal"/>
    <w:next w:val="Normal"/>
    <w:autoRedefine/>
    <w:pPr>
      <w:ind w:left="800"/>
    </w:pPr>
  </w:style>
  <w:style w:type="paragraph" w:styleId="TOC6">
    <w:name w:val="toc 6"/>
    <w:basedOn w:val="Normal"/>
    <w:next w:val="Normal"/>
    <w:autoRedefine/>
    <w:pPr>
      <w:ind w:left="1000"/>
    </w:pPr>
  </w:style>
  <w:style w:type="paragraph" w:styleId="TOC7">
    <w:name w:val="toc 7"/>
    <w:basedOn w:val="Normal"/>
    <w:next w:val="Normal"/>
    <w:autoRedefine/>
    <w:pPr>
      <w:ind w:left="1200"/>
    </w:pPr>
  </w:style>
  <w:style w:type="paragraph" w:styleId="TOC8">
    <w:name w:val="toc 8"/>
    <w:basedOn w:val="Normal"/>
    <w:next w:val="Normal"/>
    <w:autoRedefine/>
    <w:pPr>
      <w:ind w:left="1400"/>
    </w:pPr>
  </w:style>
  <w:style w:type="paragraph" w:styleId="TOC9">
    <w:name w:val="toc 9"/>
    <w:basedOn w:val="Normal"/>
    <w:next w:val="Normal"/>
    <w:autoRedefine/>
    <w:pPr>
      <w:ind w:left="1600"/>
    </w:pPr>
  </w:style>
  <w:style w:type="paragraph" w:styleId="FootnoteText">
    <w:name w:val="footnote text"/>
    <w:basedOn w:val="Normal"/>
    <w:link w:val="FootnoteTextChar"/>
    <w:rPr>
      <w:sz w:val="18"/>
      <w:szCs w:val="20"/>
    </w:rPr>
  </w:style>
  <w:style w:type="character" w:customStyle="1" w:styleId="FootnoteTextChar">
    <w:name w:val="Footnote Text Char"/>
    <w:basedOn w:val="DefaultParagraphFont"/>
    <w:link w:val="FootnoteText"/>
    <w:locked/>
    <w:rPr>
      <w:rFonts w:ascii="Arial" w:hAnsi="Arial" w:cs="Arial" w:hint="default"/>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rFonts w:ascii="Arial" w:hAnsi="Arial" w:cs="Arial" w:hint="default"/>
      <w:szCs w:val="24"/>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basedOn w:val="DefaultParagraphFont"/>
    <w:link w:val="Footer"/>
    <w:locked/>
    <w:rPr>
      <w:rFonts w:ascii="Arial" w:hAnsi="Arial" w:cs="Arial" w:hint="default"/>
      <w:szCs w:val="24"/>
    </w:rPr>
  </w:style>
  <w:style w:type="paragraph" w:styleId="ListBullet">
    <w:name w:val="List Bullet"/>
    <w:basedOn w:val="Normal"/>
    <w:autoRedefine/>
    <w:pPr>
      <w:numPr>
        <w:numId w:val="3"/>
      </w:numPr>
    </w:pPr>
  </w:style>
  <w:style w:type="paragraph" w:styleId="Title">
    <w:name w:val="Title"/>
    <w:basedOn w:val="Normal"/>
    <w:next w:val="Normal"/>
    <w:link w:val="TitleChar"/>
    <w:qFormat/>
    <w:pPr>
      <w:jc w:val="center"/>
      <w:outlineLvl w:val="0"/>
    </w:pPr>
    <w:rPr>
      <w:b/>
      <w:kern w:val="28"/>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locked/>
    <w:rPr>
      <w:rFonts w:ascii="Arial" w:hAnsi="Arial" w:cs="Arial" w:hint="default"/>
      <w:szCs w:val="24"/>
    </w:rPr>
  </w:style>
  <w:style w:type="paragraph" w:styleId="ListParagraph">
    <w:name w:val="List Paragraph"/>
    <w:basedOn w:val="Normal"/>
    <w:uiPriority w:val="34"/>
    <w:qFormat/>
    <w:pPr>
      <w:ind w:left="720"/>
      <w:contextualSpacing/>
    </w:p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Matrixtext">
    <w:name w:val="Matrixtext"/>
    <w:basedOn w:val="Normal"/>
    <w:rPr>
      <w:sz w:val="24"/>
    </w:rPr>
  </w:style>
  <w:style w:type="paragraph" w:customStyle="1" w:styleId="ListBulletEnd">
    <w:name w:val="List Bullet End"/>
    <w:basedOn w:val="ListBullet"/>
    <w:next w:val="BodyText"/>
    <w:pPr>
      <w:numPr>
        <w:numId w:val="0"/>
      </w:numPr>
      <w:spacing w:after="120"/>
    </w:pPr>
    <w:rPr>
      <w:rFonts w:cs="Arial"/>
      <w:bCs/>
      <w:sz w:val="22"/>
    </w:rPr>
  </w:style>
  <w:style w:type="paragraph" w:customStyle="1" w:styleId="1Text">
    <w:name w:val="1Text"/>
    <w:basedOn w:val="Normal"/>
    <w:pPr>
      <w:overflowPunct w:val="0"/>
      <w:autoSpaceDE w:val="0"/>
      <w:autoSpaceDN w:val="0"/>
      <w:adjustRightInd w:val="0"/>
      <w:spacing w:before="140" w:after="60"/>
    </w:pPr>
    <w:rPr>
      <w:b/>
      <w:sz w:val="22"/>
    </w:rPr>
  </w:style>
  <w:style w:type="paragraph" w:customStyle="1" w:styleId="Normal-RIGHTFLUSH">
    <w:name w:val="Normal-RIGHTFLUSH"/>
    <w:basedOn w:val="Normal"/>
    <w:pPr>
      <w:jc w:val="right"/>
    </w:pPr>
    <w:rPr>
      <w:bCs/>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Quizfont">
    <w:name w:val="Quizfont"/>
    <w:basedOn w:val="Normal"/>
    <w:rPr>
      <w:rFonts w:ascii="Arial Narrow" w:hAnsi="Arial Narrow"/>
      <w:color w:val="000000"/>
      <w:sz w:val="18"/>
    </w:rPr>
  </w:style>
  <w:style w:type="paragraph" w:customStyle="1" w:styleId="Art2points">
    <w:name w:val="Art_2points"/>
    <w:basedOn w:val="Arttext"/>
    <w:rPr>
      <w:sz w:val="4"/>
    </w:rPr>
  </w:style>
  <w:style w:type="paragraph" w:customStyle="1" w:styleId="Art4points">
    <w:name w:val="Art_4points"/>
    <w:basedOn w:val="Art2points"/>
    <w:rPr>
      <w:b/>
      <w:bCs/>
      <w:sz w:val="8"/>
    </w:rPr>
  </w:style>
  <w:style w:type="character" w:styleId="FootnoteReference">
    <w:name w:val="footnote reference"/>
    <w:basedOn w:val="DefaultParagraphFont"/>
    <w:rPr>
      <w:vertAlign w:val="superscript"/>
    </w:rPr>
  </w:style>
  <w:style w:type="paragraph" w:styleId="BalloonText">
    <w:name w:val="Balloon Text"/>
    <w:basedOn w:val="Normal"/>
    <w:link w:val="BalloonTextChar"/>
    <w:rsid w:val="002E2221"/>
    <w:rPr>
      <w:rFonts w:ascii="Tahoma" w:hAnsi="Tahoma" w:cs="Tahoma"/>
      <w:sz w:val="16"/>
      <w:szCs w:val="16"/>
    </w:rPr>
  </w:style>
  <w:style w:type="character" w:customStyle="1" w:styleId="BalloonTextChar">
    <w:name w:val="Balloon Text Char"/>
    <w:basedOn w:val="DefaultParagraphFont"/>
    <w:link w:val="BalloonText"/>
    <w:rsid w:val="002E22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Cs w:val="24"/>
    </w:rPr>
  </w:style>
  <w:style w:type="character" w:customStyle="1" w:styleId="Heading7Char">
    <w:name w:val="Heading 7 Char"/>
    <w:basedOn w:val="DefaultParagraphFont"/>
    <w:link w:val="Heading7"/>
    <w:locked/>
    <w:rPr>
      <w:rFonts w:asciiTheme="majorHAnsi" w:eastAsiaTheme="majorEastAsia" w:hAnsiTheme="majorHAnsi" w:cstheme="majorBidi" w:hint="default"/>
      <w:i/>
      <w:iCs/>
      <w:color w:val="404040" w:themeColor="text1" w:themeTint="BF"/>
      <w:szCs w:val="24"/>
    </w:rPr>
  </w:style>
  <w:style w:type="character" w:customStyle="1" w:styleId="Heading8Char">
    <w:name w:val="Heading 8 Char"/>
    <w:basedOn w:val="DefaultParagraphFont"/>
    <w:link w:val="Heading8"/>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locked/>
    <w:rPr>
      <w:rFonts w:asciiTheme="majorHAnsi" w:eastAsiaTheme="majorEastAsia" w:hAnsiTheme="majorHAnsi" w:cstheme="majorBidi" w:hint="default"/>
      <w:i/>
      <w:iCs/>
      <w:color w:val="404040" w:themeColor="text1" w:themeTint="BF"/>
    </w:rPr>
  </w:style>
  <w:style w:type="paragraph" w:styleId="TOC1">
    <w:name w:val="toc 1"/>
    <w:basedOn w:val="Normal"/>
    <w:next w:val="Normal"/>
    <w:autoRedefine/>
  </w:style>
  <w:style w:type="paragraph" w:styleId="TOC2">
    <w:name w:val="toc 2"/>
    <w:basedOn w:val="Normal"/>
    <w:next w:val="Normal"/>
    <w:autoRedefine/>
    <w:pPr>
      <w:ind w:left="200"/>
    </w:pPr>
  </w:style>
  <w:style w:type="paragraph" w:styleId="TOC3">
    <w:name w:val="toc 3"/>
    <w:basedOn w:val="Normal"/>
    <w:next w:val="Normal"/>
    <w:autoRedefine/>
    <w:pPr>
      <w:ind w:left="400"/>
    </w:pPr>
  </w:style>
  <w:style w:type="paragraph" w:styleId="TOC4">
    <w:name w:val="toc 4"/>
    <w:basedOn w:val="Normal"/>
    <w:next w:val="Normal"/>
    <w:autoRedefine/>
    <w:pPr>
      <w:ind w:left="600"/>
    </w:pPr>
  </w:style>
  <w:style w:type="paragraph" w:styleId="TOC5">
    <w:name w:val="toc 5"/>
    <w:basedOn w:val="Normal"/>
    <w:next w:val="Normal"/>
    <w:autoRedefine/>
    <w:pPr>
      <w:ind w:left="800"/>
    </w:pPr>
  </w:style>
  <w:style w:type="paragraph" w:styleId="TOC6">
    <w:name w:val="toc 6"/>
    <w:basedOn w:val="Normal"/>
    <w:next w:val="Normal"/>
    <w:autoRedefine/>
    <w:pPr>
      <w:ind w:left="1000"/>
    </w:pPr>
  </w:style>
  <w:style w:type="paragraph" w:styleId="TOC7">
    <w:name w:val="toc 7"/>
    <w:basedOn w:val="Normal"/>
    <w:next w:val="Normal"/>
    <w:autoRedefine/>
    <w:pPr>
      <w:ind w:left="1200"/>
    </w:pPr>
  </w:style>
  <w:style w:type="paragraph" w:styleId="TOC8">
    <w:name w:val="toc 8"/>
    <w:basedOn w:val="Normal"/>
    <w:next w:val="Normal"/>
    <w:autoRedefine/>
    <w:pPr>
      <w:ind w:left="1400"/>
    </w:pPr>
  </w:style>
  <w:style w:type="paragraph" w:styleId="TOC9">
    <w:name w:val="toc 9"/>
    <w:basedOn w:val="Normal"/>
    <w:next w:val="Normal"/>
    <w:autoRedefine/>
    <w:pPr>
      <w:ind w:left="1600"/>
    </w:pPr>
  </w:style>
  <w:style w:type="paragraph" w:styleId="FootnoteText">
    <w:name w:val="footnote text"/>
    <w:basedOn w:val="Normal"/>
    <w:link w:val="FootnoteTextChar"/>
    <w:rPr>
      <w:sz w:val="18"/>
      <w:szCs w:val="20"/>
    </w:rPr>
  </w:style>
  <w:style w:type="character" w:customStyle="1" w:styleId="FootnoteTextChar">
    <w:name w:val="Footnote Text Char"/>
    <w:basedOn w:val="DefaultParagraphFont"/>
    <w:link w:val="FootnoteText"/>
    <w:locked/>
    <w:rPr>
      <w:rFonts w:ascii="Arial" w:hAnsi="Arial" w:cs="Arial" w:hint="default"/>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rFonts w:ascii="Arial" w:hAnsi="Arial" w:cs="Arial" w:hint="default"/>
      <w:szCs w:val="24"/>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basedOn w:val="DefaultParagraphFont"/>
    <w:link w:val="Footer"/>
    <w:locked/>
    <w:rPr>
      <w:rFonts w:ascii="Arial" w:hAnsi="Arial" w:cs="Arial" w:hint="default"/>
      <w:szCs w:val="24"/>
    </w:rPr>
  </w:style>
  <w:style w:type="paragraph" w:styleId="ListBullet">
    <w:name w:val="List Bullet"/>
    <w:basedOn w:val="Normal"/>
    <w:autoRedefine/>
    <w:pPr>
      <w:numPr>
        <w:numId w:val="3"/>
      </w:numPr>
    </w:pPr>
  </w:style>
  <w:style w:type="paragraph" w:styleId="Title">
    <w:name w:val="Title"/>
    <w:basedOn w:val="Normal"/>
    <w:next w:val="Normal"/>
    <w:link w:val="TitleChar"/>
    <w:qFormat/>
    <w:pPr>
      <w:jc w:val="center"/>
      <w:outlineLvl w:val="0"/>
    </w:pPr>
    <w:rPr>
      <w:b/>
      <w:kern w:val="28"/>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locked/>
    <w:rPr>
      <w:rFonts w:ascii="Arial" w:hAnsi="Arial" w:cs="Arial" w:hint="default"/>
      <w:szCs w:val="24"/>
    </w:rPr>
  </w:style>
  <w:style w:type="paragraph" w:styleId="ListParagraph">
    <w:name w:val="List Paragraph"/>
    <w:basedOn w:val="Normal"/>
    <w:uiPriority w:val="34"/>
    <w:qFormat/>
    <w:pPr>
      <w:ind w:left="720"/>
      <w:contextualSpacing/>
    </w:p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Matrixtext">
    <w:name w:val="Matrixtext"/>
    <w:basedOn w:val="Normal"/>
    <w:rPr>
      <w:sz w:val="24"/>
    </w:rPr>
  </w:style>
  <w:style w:type="paragraph" w:customStyle="1" w:styleId="ListBulletEnd">
    <w:name w:val="List Bullet End"/>
    <w:basedOn w:val="ListBullet"/>
    <w:next w:val="BodyText"/>
    <w:pPr>
      <w:numPr>
        <w:numId w:val="0"/>
      </w:numPr>
      <w:spacing w:after="120"/>
    </w:pPr>
    <w:rPr>
      <w:rFonts w:cs="Arial"/>
      <w:bCs/>
      <w:sz w:val="22"/>
    </w:rPr>
  </w:style>
  <w:style w:type="paragraph" w:customStyle="1" w:styleId="1Text">
    <w:name w:val="1Text"/>
    <w:basedOn w:val="Normal"/>
    <w:pPr>
      <w:overflowPunct w:val="0"/>
      <w:autoSpaceDE w:val="0"/>
      <w:autoSpaceDN w:val="0"/>
      <w:adjustRightInd w:val="0"/>
      <w:spacing w:before="140" w:after="60"/>
    </w:pPr>
    <w:rPr>
      <w:b/>
      <w:sz w:val="22"/>
    </w:rPr>
  </w:style>
  <w:style w:type="paragraph" w:customStyle="1" w:styleId="Normal-RIGHTFLUSH">
    <w:name w:val="Normal-RIGHTFLUSH"/>
    <w:basedOn w:val="Normal"/>
    <w:pPr>
      <w:jc w:val="right"/>
    </w:pPr>
    <w:rPr>
      <w:bCs/>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Quizfont">
    <w:name w:val="Quizfont"/>
    <w:basedOn w:val="Normal"/>
    <w:rPr>
      <w:rFonts w:ascii="Arial Narrow" w:hAnsi="Arial Narrow"/>
      <w:color w:val="000000"/>
      <w:sz w:val="18"/>
    </w:rPr>
  </w:style>
  <w:style w:type="paragraph" w:customStyle="1" w:styleId="Art2points">
    <w:name w:val="Art_2points"/>
    <w:basedOn w:val="Arttext"/>
    <w:rPr>
      <w:sz w:val="4"/>
    </w:rPr>
  </w:style>
  <w:style w:type="paragraph" w:customStyle="1" w:styleId="Art4points">
    <w:name w:val="Art_4points"/>
    <w:basedOn w:val="Art2points"/>
    <w:rPr>
      <w:b/>
      <w:bCs/>
      <w:sz w:val="8"/>
    </w:rPr>
  </w:style>
  <w:style w:type="character" w:styleId="FootnoteReference">
    <w:name w:val="footnote reference"/>
    <w:basedOn w:val="DefaultParagraphFont"/>
    <w:rPr>
      <w:vertAlign w:val="superscript"/>
    </w:rPr>
  </w:style>
  <w:style w:type="paragraph" w:styleId="BalloonText">
    <w:name w:val="Balloon Text"/>
    <w:basedOn w:val="Normal"/>
    <w:link w:val="BalloonTextChar"/>
    <w:rsid w:val="002E2221"/>
    <w:rPr>
      <w:rFonts w:ascii="Tahoma" w:hAnsi="Tahoma" w:cs="Tahoma"/>
      <w:sz w:val="16"/>
      <w:szCs w:val="16"/>
    </w:rPr>
  </w:style>
  <w:style w:type="character" w:customStyle="1" w:styleId="BalloonTextChar">
    <w:name w:val="Balloon Text Char"/>
    <w:basedOn w:val="DefaultParagraphFont"/>
    <w:link w:val="BalloonText"/>
    <w:rsid w:val="002E22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cj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busc@wcjc.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CJB_instruc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CJB_instruction.dot</Template>
  <TotalTime>0</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Comparison of Farmer Events from the 1870s through 1890s</vt:lpstr>
    </vt:vector>
  </TitlesOfParts>
  <Company>Bibus Consulting</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Farmer Events from the 1870s through 1890s</dc:title>
  <dc:creator>Connie "C.J." Bibus, Ed.D.</dc:creator>
  <cp:lastModifiedBy>CJ Bibus</cp:lastModifiedBy>
  <cp:revision>2</cp:revision>
  <cp:lastPrinted>2015-11-01T22:06:00Z</cp:lastPrinted>
  <dcterms:created xsi:type="dcterms:W3CDTF">2015-11-01T22:11:00Z</dcterms:created>
  <dcterms:modified xsi:type="dcterms:W3CDTF">2015-11-01T22:11:00Z</dcterms:modified>
</cp:coreProperties>
</file>