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C56BC">
      <w:pPr>
        <w:rPr>
          <w:rFonts w:ascii="Arial" w:hAnsi="Arial" w:cs="Arial"/>
          <w:b/>
          <w:sz w:val="20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2"/>
        </w:rPr>
        <w:t xml:space="preserve">Comparison of Events </w:t>
      </w:r>
    </w:p>
    <w:p w:rsidR="00000000" w:rsidRDefault="005C56BC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The problems in the left column are revealed in the Hoover administration, but they were caused by economic events and decisions before his administration and beyond his administration. </w:t>
      </w:r>
    </w:p>
    <w:p w:rsidR="00000000" w:rsidRDefault="005C56BC">
      <w:pPr>
        <w:rPr>
          <w:rFonts w:ascii="Arial" w:hAnsi="Arial"/>
          <w:sz w:val="20"/>
          <w:szCs w:val="16"/>
        </w:rPr>
      </w:pPr>
      <w:r>
        <w:rPr>
          <w:rFonts w:ascii="Arial" w:hAnsi="Arial"/>
          <w:sz w:val="20"/>
          <w:vertAlign w:val="superscript"/>
        </w:rPr>
        <w:t>* + (date)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  <w:szCs w:val="16"/>
        </w:rPr>
        <w:t xml:space="preserve">= Alteration in this law           </w:t>
      </w:r>
      <w:r>
        <w:rPr>
          <w:rFonts w:ascii="Arial" w:hAnsi="Arial"/>
          <w:sz w:val="20"/>
          <w:szCs w:val="16"/>
        </w:rPr>
        <w:t xml:space="preserve">     </w:t>
      </w:r>
      <w:r>
        <w:rPr>
          <w:rFonts w:ascii="Arial" w:hAnsi="Arial"/>
          <w:color w:val="0000FF"/>
          <w:sz w:val="20"/>
          <w:szCs w:val="16"/>
        </w:rPr>
        <w:t>Blue</w:t>
      </w:r>
      <w:r>
        <w:rPr>
          <w:rFonts w:ascii="Arial" w:hAnsi="Arial"/>
          <w:sz w:val="20"/>
          <w:szCs w:val="16"/>
        </w:rPr>
        <w:t xml:space="preserve"> = occurring in the 1</w:t>
      </w:r>
      <w:r>
        <w:rPr>
          <w:rFonts w:ascii="Arial" w:hAnsi="Arial"/>
          <w:sz w:val="20"/>
          <w:szCs w:val="16"/>
          <w:vertAlign w:val="superscript"/>
        </w:rPr>
        <w:t>st</w:t>
      </w:r>
      <w:r>
        <w:rPr>
          <w:rFonts w:ascii="Arial" w:hAnsi="Arial"/>
          <w:sz w:val="20"/>
          <w:szCs w:val="16"/>
        </w:rPr>
        <w:t xml:space="preserve"> 100 days of Franklin Delano Roosevelt’s New Deal</w:t>
      </w:r>
    </w:p>
    <w:tbl>
      <w:tblPr>
        <w:tblStyle w:val="TableGrid"/>
        <w:tblW w:w="10800" w:type="dxa"/>
        <w:tblInd w:w="0" w:type="dxa"/>
        <w:tblLook w:val="01E0" w:firstRow="1" w:lastRow="1" w:firstColumn="1" w:lastColumn="1" w:noHBand="0" w:noVBand="0"/>
      </w:tblPr>
      <w:tblGrid>
        <w:gridCol w:w="5400"/>
        <w:gridCol w:w="5400"/>
      </w:tblGrid>
      <w:tr w:rsidR="00000000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0000" w:rsidRDefault="005C56BC">
            <w:pPr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Problems Revealed in Hoover’s Administration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0000" w:rsidRDefault="005C56BC">
            <w:pPr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Solutions Attempted in FDR’s New Deal</w:t>
            </w:r>
          </w:p>
        </w:tc>
      </w:tr>
      <w:tr w:rsidR="00000000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0000" w:rsidRDefault="005C56BC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Protecting freedom of information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0000" w:rsidRDefault="005C56BC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FCC (Federal Communications Act)</w:t>
            </w:r>
            <w:r>
              <w:rPr>
                <w:rStyle w:val="EndnoteReference"/>
                <w:rFonts w:ascii="Arial" w:hAnsi="Arial" w:cs="Arial"/>
                <w:sz w:val="20"/>
                <w:szCs w:val="22"/>
              </w:rPr>
              <w:endnoteReference w:id="1"/>
            </w:r>
            <w:r>
              <w:rPr>
                <w:rFonts w:ascii="Arial" w:hAnsi="Arial" w:cs="Arial"/>
                <w:sz w:val="20"/>
                <w:szCs w:val="22"/>
              </w:rPr>
              <w:t>*</w:t>
            </w:r>
            <w:r>
              <w:rPr>
                <w:rFonts w:ascii="Arial" w:hAnsi="Arial" w:cs="Arial"/>
                <w:sz w:val="20"/>
                <w:szCs w:val="22"/>
                <w:vertAlign w:val="superscript"/>
              </w:rPr>
              <w:t>(1980s)</w:t>
            </w:r>
            <w:r>
              <w:rPr>
                <w:rFonts w:ascii="Arial" w:hAnsi="Arial"/>
                <w:sz w:val="20"/>
                <w:szCs w:val="22"/>
                <w:vertAlign w:val="superscript"/>
              </w:rPr>
              <w:t xml:space="preserve"> (1990s)</w:t>
            </w:r>
          </w:p>
        </w:tc>
      </w:tr>
      <w:tr w:rsidR="00000000">
        <w:trPr>
          <w:trHeight w:val="201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000000" w:rsidRDefault="005C56BC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Your textbook talks about the Federal Reserve, but these problems are also part of the banking crisis:</w:t>
            </w:r>
          </w:p>
          <w:p w:rsidR="00000000" w:rsidRDefault="005C56BC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Bankers – embezzling funds and speculating in stock market</w:t>
            </w:r>
          </w:p>
          <w:p w:rsidR="00000000" w:rsidRDefault="005C56BC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  <w:highlight w:val="yellow"/>
              </w:rPr>
              <w:t>Banks closing</w:t>
            </w:r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</w:rPr>
              <w:t xml:space="preserve">(run on the bank) with </w:t>
            </w:r>
            <w:r>
              <w:rPr>
                <w:rFonts w:ascii="Arial" w:hAnsi="Arial" w:cs="Arial"/>
                <w:sz w:val="20"/>
                <w:szCs w:val="22"/>
                <w:highlight w:val="yellow"/>
              </w:rPr>
              <w:t>state bank holidays</w:t>
            </w:r>
            <w:r>
              <w:rPr>
                <w:rFonts w:ascii="Arial" w:hAnsi="Arial" w:cs="Arial"/>
                <w:sz w:val="20"/>
                <w:szCs w:val="22"/>
              </w:rPr>
              <w:t xml:space="preserve"> being the only remedy</w:t>
            </w:r>
          </w:p>
          <w:p w:rsidR="00000000" w:rsidRDefault="005C56BC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000000" w:rsidRDefault="005C56BC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Initially, </w:t>
            </w:r>
            <w:r>
              <w:rPr>
                <w:rFonts w:ascii="Arial" w:hAnsi="Arial"/>
                <w:color w:val="0000FF"/>
                <w:sz w:val="20"/>
                <w:szCs w:val="16"/>
              </w:rPr>
              <w:t xml:space="preserve">Congress in special session </w:t>
            </w:r>
            <w:r>
              <w:rPr>
                <w:rFonts w:ascii="Arial" w:hAnsi="Arial" w:cs="Arial"/>
                <w:sz w:val="20"/>
                <w:szCs w:val="22"/>
              </w:rPr>
              <w:t>&gt; this combination:</w:t>
            </w:r>
          </w:p>
          <w:p w:rsidR="00000000" w:rsidRDefault="005C56BC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2"/>
                <w:highlight w:val="yellow"/>
              </w:rPr>
            </w:pPr>
            <w:r>
              <w:rPr>
                <w:rFonts w:ascii="Arial" w:hAnsi="Arial" w:cs="Arial"/>
                <w:sz w:val="20"/>
                <w:szCs w:val="22"/>
                <w:highlight w:val="yellow"/>
              </w:rPr>
              <w:t>National Bank Holiday</w:t>
            </w:r>
          </w:p>
          <w:p w:rsidR="00000000" w:rsidRDefault="005C56BC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2"/>
                <w:highlight w:val="yellow"/>
              </w:rPr>
            </w:pPr>
            <w:r>
              <w:rPr>
                <w:rFonts w:ascii="Arial" w:hAnsi="Arial" w:cs="Arial"/>
                <w:sz w:val="20"/>
                <w:szCs w:val="22"/>
                <w:highlight w:val="yellow"/>
              </w:rPr>
              <w:t>Inspections</w:t>
            </w:r>
          </w:p>
          <w:p w:rsidR="00000000" w:rsidRDefault="005C56BC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License/Treasury</w:t>
            </w:r>
          </w:p>
          <w:p w:rsidR="00000000" w:rsidRDefault="005C56BC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Fireside chat – radio device used frequently</w:t>
            </w:r>
          </w:p>
          <w:p w:rsidR="00000000" w:rsidRDefault="005C56BC">
            <w:pPr>
              <w:rPr>
                <w:rFonts w:ascii="Arial" w:hAnsi="Arial" w:cs="Arial"/>
                <w:sz w:val="16"/>
                <w:szCs w:val="16"/>
              </w:rPr>
            </w:pPr>
          </w:p>
          <w:p w:rsidR="00000000" w:rsidRDefault="005C56BC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/>
                <w:color w:val="0000FF"/>
                <w:sz w:val="20"/>
                <w:szCs w:val="16"/>
                <w:highlight w:val="yellow"/>
              </w:rPr>
              <w:t>FDIC</w:t>
            </w:r>
            <w:r>
              <w:rPr>
                <w:rStyle w:val="EndnoteReference"/>
                <w:rFonts w:ascii="Arial" w:hAnsi="Arial"/>
                <w:color w:val="0000FF"/>
                <w:sz w:val="20"/>
                <w:szCs w:val="16"/>
              </w:rPr>
              <w:endnoteReference w:id="2"/>
            </w:r>
            <w:r>
              <w:rPr>
                <w:rFonts w:ascii="Arial" w:hAnsi="Arial"/>
                <w:color w:val="0000FF"/>
                <w:sz w:val="20"/>
                <w:szCs w:val="16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</w:rPr>
              <w:t>*</w:t>
            </w:r>
            <w:r>
              <w:rPr>
                <w:rFonts w:ascii="Arial" w:hAnsi="Arial" w:cs="Arial"/>
                <w:sz w:val="20"/>
                <w:szCs w:val="22"/>
                <w:vertAlign w:val="superscript"/>
              </w:rPr>
              <w:t xml:space="preserve">(1980s) </w:t>
            </w:r>
            <w:r>
              <w:rPr>
                <w:rFonts w:ascii="Arial" w:hAnsi="Arial" w:cs="Arial"/>
                <w:sz w:val="20"/>
                <w:szCs w:val="22"/>
              </w:rPr>
              <w:t>Taxpayers insured depositors’ money</w:t>
            </w:r>
            <w:r>
              <w:rPr>
                <w:rFonts w:ascii="Arial" w:hAnsi="Arial" w:cs="Arial"/>
                <w:b/>
                <w:sz w:val="20"/>
                <w:szCs w:val="22"/>
              </w:rPr>
              <w:t xml:space="preserve"> if </w:t>
            </w:r>
            <w:r>
              <w:rPr>
                <w:rFonts w:ascii="Arial" w:hAnsi="Arial" w:cs="Arial"/>
                <w:sz w:val="20"/>
                <w:szCs w:val="22"/>
              </w:rPr>
              <w:t xml:space="preserve">a bank complied with rules – such as </w:t>
            </w:r>
            <w:r>
              <w:rPr>
                <w:rFonts w:ascii="Arial" w:hAnsi="Arial" w:cs="Arial"/>
                <w:sz w:val="20"/>
                <w:szCs w:val="22"/>
                <w:highlight w:val="yellow"/>
              </w:rPr>
              <w:t>firewall</w:t>
            </w:r>
            <w:r>
              <w:rPr>
                <w:rFonts w:ascii="Arial" w:hAnsi="Arial" w:cs="Arial"/>
                <w:sz w:val="20"/>
                <w:szCs w:val="22"/>
              </w:rPr>
              <w:t xml:space="preserve"> between </w:t>
            </w:r>
            <w:r>
              <w:rPr>
                <w:rFonts w:ascii="Arial" w:hAnsi="Arial" w:cs="Arial"/>
                <w:i/>
                <w:sz w:val="20"/>
                <w:szCs w:val="22"/>
                <w:highlight w:val="yellow"/>
              </w:rPr>
              <w:t>depositors’</w:t>
            </w:r>
            <w:r>
              <w:rPr>
                <w:rFonts w:ascii="Arial" w:hAnsi="Arial" w:cs="Arial"/>
                <w:sz w:val="20"/>
                <w:szCs w:val="22"/>
                <w:highlight w:val="yellow"/>
              </w:rPr>
              <w:t xml:space="preserve"> money and banks’ speculation</w:t>
            </w:r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r>
              <w:rPr>
                <w:rFonts w:ascii="Arial" w:hAnsi="Arial"/>
                <w:sz w:val="20"/>
                <w:szCs w:val="22"/>
                <w:vertAlign w:val="superscript"/>
              </w:rPr>
              <w:t xml:space="preserve">(1990s) </w:t>
            </w:r>
            <w:r>
              <w:rPr>
                <w:rStyle w:val="EndnoteReference"/>
                <w:rFonts w:ascii="Arial" w:hAnsi="Arial" w:cs="Arial"/>
                <w:sz w:val="20"/>
                <w:szCs w:val="22"/>
              </w:rPr>
              <w:endnoteReference w:id="3"/>
            </w:r>
          </w:p>
        </w:tc>
      </w:tr>
      <w:tr w:rsidR="00000000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0000" w:rsidRDefault="005C56BC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Gold Standard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0000" w:rsidRDefault="005C56BC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US </w:t>
            </w:r>
            <w:r>
              <w:rPr>
                <w:rFonts w:ascii="Arial" w:hAnsi="Arial"/>
                <w:color w:val="0000FF"/>
                <w:sz w:val="20"/>
                <w:szCs w:val="16"/>
              </w:rPr>
              <w:t>off gold standard</w:t>
            </w:r>
          </w:p>
        </w:tc>
      </w:tr>
      <w:tr w:rsidR="00000000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0000" w:rsidRDefault="005C56BC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Stock Market, </w:t>
            </w:r>
            <w:r>
              <w:rPr>
                <w:rFonts w:ascii="Arial" w:hAnsi="Arial" w:cs="Arial"/>
                <w:b/>
                <w:sz w:val="20"/>
                <w:szCs w:val="22"/>
              </w:rPr>
              <w:t>private</w:t>
            </w:r>
            <w:r>
              <w:rPr>
                <w:rFonts w:ascii="Arial" w:hAnsi="Arial" w:cs="Arial"/>
                <w:sz w:val="20"/>
                <w:szCs w:val="22"/>
              </w:rPr>
              <w:t xml:space="preserve"> organization for sale of stocks/bonds</w:t>
            </w:r>
          </w:p>
          <w:p w:rsidR="00000000" w:rsidRDefault="005C56BC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Insider trading</w:t>
            </w:r>
          </w:p>
          <w:p w:rsidR="00000000" w:rsidRDefault="005C56BC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2"/>
                <w:highlight w:val="yellow"/>
              </w:rPr>
            </w:pPr>
            <w:r>
              <w:rPr>
                <w:rFonts w:ascii="Arial" w:hAnsi="Arial" w:cs="Arial"/>
                <w:sz w:val="20"/>
                <w:szCs w:val="22"/>
                <w:highlight w:val="yellow"/>
              </w:rPr>
              <w:t>Margin buying</w:t>
            </w:r>
          </w:p>
          <w:p w:rsidR="00000000" w:rsidRDefault="005C56BC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2"/>
                <w:highlight w:val="yellow"/>
              </w:rPr>
            </w:pPr>
            <w:r>
              <w:rPr>
                <w:rFonts w:ascii="Arial" w:hAnsi="Arial" w:cs="Arial"/>
                <w:sz w:val="20"/>
                <w:szCs w:val="22"/>
                <w:highlight w:val="yellow"/>
              </w:rPr>
              <w:t>Fraud</w:t>
            </w:r>
          </w:p>
          <w:p w:rsidR="00000000" w:rsidRDefault="005C56BC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Sales to the </w:t>
            </w:r>
            <w:r>
              <w:rPr>
                <w:rFonts w:ascii="Arial" w:hAnsi="Arial" w:cs="Arial"/>
                <w:b/>
                <w:sz w:val="20"/>
                <w:szCs w:val="22"/>
              </w:rPr>
              <w:t>public</w:t>
            </w:r>
            <w:r>
              <w:rPr>
                <w:rFonts w:ascii="Arial" w:hAnsi="Arial" w:cs="Arial"/>
                <w:sz w:val="20"/>
                <w:szCs w:val="22"/>
              </w:rPr>
              <w:t xml:space="preserve"> of stock but no required </w:t>
            </w:r>
            <w:r>
              <w:rPr>
                <w:rFonts w:ascii="Arial" w:hAnsi="Arial" w:cs="Arial"/>
                <w:sz w:val="20"/>
                <w:szCs w:val="22"/>
                <w:highlight w:val="yellow"/>
              </w:rPr>
              <w:t>disclosure</w:t>
            </w:r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r>
              <w:rPr>
                <w:rStyle w:val="EndnoteReference"/>
                <w:rFonts w:ascii="Arial" w:hAnsi="Arial" w:cs="Arial"/>
                <w:sz w:val="20"/>
                <w:szCs w:val="22"/>
              </w:rPr>
              <w:endnoteReference w:id="4"/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0000" w:rsidRDefault="005C56BC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/>
                <w:color w:val="0000FF"/>
                <w:sz w:val="20"/>
                <w:szCs w:val="16"/>
                <w:highlight w:val="yellow"/>
              </w:rPr>
              <w:t>Regulation of stock market</w:t>
            </w:r>
            <w:r>
              <w:rPr>
                <w:rFonts w:ascii="Arial" w:hAnsi="Arial" w:cs="Arial"/>
                <w:sz w:val="20"/>
                <w:szCs w:val="22"/>
              </w:rPr>
              <w:t xml:space="preserve"> (problems listed in left column) -initially under the FTC (the Federal Trade Commission established under Wilson’s presidency), but these responsibili</w:t>
            </w:r>
            <w:r>
              <w:rPr>
                <w:rFonts w:ascii="Arial" w:hAnsi="Arial" w:cs="Arial"/>
                <w:sz w:val="20"/>
                <w:szCs w:val="22"/>
              </w:rPr>
              <w:t>ties later went to the SEC</w:t>
            </w:r>
            <w:r>
              <w:rPr>
                <w:rFonts w:ascii="Arial" w:hAnsi="Arial"/>
                <w:sz w:val="20"/>
                <w:szCs w:val="22"/>
                <w:vertAlign w:val="superscript"/>
              </w:rPr>
              <w:t xml:space="preserve">(1990s) </w:t>
            </w:r>
            <w:r>
              <w:rPr>
                <w:rStyle w:val="EndnoteReference"/>
                <w:rFonts w:ascii="Arial" w:hAnsi="Arial"/>
                <w:color w:val="0000FF"/>
                <w:sz w:val="20"/>
                <w:szCs w:val="16"/>
              </w:rPr>
              <w:endnoteReference w:id="5"/>
            </w:r>
          </w:p>
        </w:tc>
      </w:tr>
      <w:tr w:rsidR="00000000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0000" w:rsidRDefault="005C56BC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Business Not Producing </w:t>
            </w:r>
          </w:p>
          <w:p w:rsidR="00000000" w:rsidRDefault="005C56BC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Businesses are hurting</w:t>
            </w:r>
          </w:p>
          <w:p w:rsidR="00000000" w:rsidRDefault="005C56BC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Workers are hurting – </w:t>
            </w:r>
            <w:r>
              <w:rPr>
                <w:rFonts w:ascii="Arial" w:hAnsi="Arial" w:cs="Arial"/>
                <w:sz w:val="20"/>
                <w:szCs w:val="22"/>
                <w:highlight w:val="yellow"/>
              </w:rPr>
              <w:t>1 in 4 workers without a job</w:t>
            </w:r>
            <w:r>
              <w:rPr>
                <w:rFonts w:ascii="Arial" w:hAnsi="Arial" w:cs="Arial"/>
                <w:sz w:val="20"/>
                <w:szCs w:val="22"/>
              </w:rPr>
              <w:t xml:space="preserve"> (Scroll down for growing pressures from 1934, especially with the shift to union organization by industries.)</w:t>
            </w:r>
          </w:p>
          <w:p w:rsidR="00000000" w:rsidRDefault="005C56BC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Market saturated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000000" w:rsidRDefault="005C56BC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/>
                <w:color w:val="0000FF"/>
                <w:sz w:val="20"/>
                <w:szCs w:val="16"/>
              </w:rPr>
              <w:t>NRA</w:t>
            </w:r>
            <w:r>
              <w:rPr>
                <w:rStyle w:val="EndnoteReference"/>
                <w:rFonts w:ascii="Arial" w:hAnsi="Arial"/>
                <w:color w:val="0000FF"/>
                <w:sz w:val="20"/>
                <w:szCs w:val="16"/>
              </w:rPr>
              <w:endnoteReference w:id="6"/>
            </w:r>
            <w:r>
              <w:rPr>
                <w:rFonts w:ascii="Arial" w:hAnsi="Arial" w:cs="Arial"/>
                <w:sz w:val="20"/>
                <w:szCs w:val="22"/>
              </w:rPr>
              <w:t xml:space="preserve">     Later declared </w:t>
            </w:r>
            <w:hyperlink w:anchor="pressuresffromsupremecourt" w:history="1">
              <w:r>
                <w:rPr>
                  <w:rStyle w:val="Hyperlink"/>
                  <w:rFonts w:ascii="Arial" w:hAnsi="Arial" w:cs="Arial"/>
                  <w:sz w:val="20"/>
                  <w:szCs w:val="22"/>
                </w:rPr>
                <w:t>unconstitutional</w:t>
              </w:r>
            </w:hyperlink>
            <w:r>
              <w:rPr>
                <w:rFonts w:ascii="Arial" w:hAnsi="Arial" w:cs="Arial"/>
                <w:sz w:val="20"/>
                <w:szCs w:val="22"/>
              </w:rPr>
              <w:t xml:space="preserve"> right to organize and standards for minimum pay/maximum hours.</w:t>
            </w:r>
          </w:p>
          <w:p w:rsidR="00000000" w:rsidRDefault="005C56BC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used symbol blue eagle in store windows</w:t>
            </w:r>
          </w:p>
          <w:p w:rsidR="00000000" w:rsidRDefault="005C56BC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gave workers right to organize (Later covered </w:t>
            </w:r>
            <w:r>
              <w:rPr>
                <w:rFonts w:ascii="Arial" w:hAnsi="Arial" w:cs="Arial"/>
                <w:sz w:val="20"/>
                <w:szCs w:val="22"/>
              </w:rPr>
              <w:t xml:space="preserve">in the </w:t>
            </w:r>
            <w:r>
              <w:rPr>
                <w:rFonts w:ascii="Arial" w:hAnsi="Arial" w:cs="Arial"/>
                <w:sz w:val="20"/>
                <w:szCs w:val="22"/>
                <w:highlight w:val="yellow"/>
              </w:rPr>
              <w:t>Wagner Act</w:t>
            </w:r>
            <w:r>
              <w:rPr>
                <w:rFonts w:ascii="Arial" w:hAnsi="Arial" w:cs="Arial"/>
                <w:sz w:val="20"/>
                <w:szCs w:val="22"/>
              </w:rPr>
              <w:t xml:space="preserve"> and </w:t>
            </w:r>
            <w:r>
              <w:rPr>
                <w:rFonts w:ascii="Arial" w:hAnsi="Arial" w:cs="Arial"/>
                <w:sz w:val="20"/>
                <w:szCs w:val="22"/>
                <w:highlight w:val="yellow"/>
              </w:rPr>
              <w:t>its National Labor Relations Board</w:t>
            </w:r>
            <w:r>
              <w:rPr>
                <w:rStyle w:val="EndnoteReference"/>
                <w:rFonts w:ascii="Arial" w:hAnsi="Arial" w:cs="Arial"/>
                <w:sz w:val="20"/>
                <w:szCs w:val="22"/>
              </w:rPr>
              <w:endnoteReference w:id="7"/>
            </w:r>
            <w:r>
              <w:rPr>
                <w:rFonts w:ascii="Arial" w:hAnsi="Arial" w:cs="Arial"/>
                <w:sz w:val="20"/>
                <w:szCs w:val="22"/>
              </w:rPr>
              <w:t>)</w:t>
            </w:r>
          </w:p>
          <w:p w:rsidR="00000000" w:rsidRDefault="005C56BC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set up standards &amp; codes for business (Later covered in the Fair Labor Standards Act</w:t>
            </w:r>
            <w:r>
              <w:rPr>
                <w:rStyle w:val="EndnoteReference"/>
                <w:rFonts w:ascii="Arial" w:hAnsi="Arial" w:cs="Arial"/>
                <w:sz w:val="20"/>
                <w:szCs w:val="22"/>
              </w:rPr>
              <w:endnoteReference w:id="8"/>
            </w:r>
            <w:r>
              <w:rPr>
                <w:rFonts w:ascii="Arial" w:hAnsi="Arial" w:cs="Arial"/>
                <w:sz w:val="20"/>
                <w:szCs w:val="22"/>
              </w:rPr>
              <w:t>)</w:t>
            </w:r>
          </w:p>
          <w:p w:rsidR="00000000" w:rsidRDefault="005C56BC">
            <w:pPr>
              <w:rPr>
                <w:rFonts w:ascii="Arial" w:hAnsi="Arial" w:cs="Arial"/>
                <w:sz w:val="16"/>
                <w:szCs w:val="16"/>
              </w:rPr>
            </w:pPr>
          </w:p>
          <w:p w:rsidR="00000000" w:rsidRDefault="005C56BC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/>
                <w:color w:val="0000FF"/>
                <w:sz w:val="20"/>
                <w:szCs w:val="16"/>
              </w:rPr>
              <w:t>PWA</w:t>
            </w:r>
            <w:r>
              <w:rPr>
                <w:rStyle w:val="EndnoteReference"/>
                <w:rFonts w:ascii="Arial" w:hAnsi="Arial"/>
                <w:color w:val="0000FF"/>
                <w:sz w:val="20"/>
                <w:szCs w:val="16"/>
              </w:rPr>
              <w:endnoteReference w:id="9"/>
            </w:r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r>
              <w:rPr>
                <w:rFonts w:ascii="Arial" w:hAnsi="Arial"/>
                <w:color w:val="0000FF"/>
                <w:sz w:val="20"/>
                <w:szCs w:val="16"/>
              </w:rPr>
              <w:t xml:space="preserve"> </w:t>
            </w:r>
          </w:p>
          <w:p w:rsidR="00000000" w:rsidRDefault="005C56BC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i/>
                <w:sz w:val="20"/>
                <w:szCs w:val="22"/>
              </w:rPr>
              <w:t>p</w:t>
            </w:r>
            <w:r>
              <w:rPr>
                <w:rFonts w:ascii="Arial" w:hAnsi="Arial" w:cs="Arial"/>
                <w:sz w:val="20"/>
                <w:szCs w:val="22"/>
              </w:rPr>
              <w:t xml:space="preserve">ublic </w:t>
            </w:r>
            <w:r>
              <w:rPr>
                <w:rFonts w:ascii="Arial" w:hAnsi="Arial" w:cs="Arial"/>
                <w:i/>
                <w:sz w:val="20"/>
                <w:szCs w:val="22"/>
              </w:rPr>
              <w:t>w</w:t>
            </w:r>
            <w:r>
              <w:rPr>
                <w:rFonts w:ascii="Arial" w:hAnsi="Arial" w:cs="Arial"/>
                <w:sz w:val="20"/>
                <w:szCs w:val="22"/>
              </w:rPr>
              <w:t xml:space="preserve">orks, such as Boulder Dam </w:t>
            </w:r>
          </w:p>
          <w:p w:rsidR="00000000" w:rsidRDefault="005C56BC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used steel, concrete</w:t>
            </w:r>
          </w:p>
        </w:tc>
      </w:tr>
      <w:tr w:rsidR="00000000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0000" w:rsidRDefault="005C56BC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Mortgage</w:t>
            </w:r>
          </w:p>
          <w:p w:rsidR="00000000" w:rsidRDefault="005C56BC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home</w:t>
            </w:r>
          </w:p>
          <w:p w:rsidR="00000000" w:rsidRDefault="005C56BC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farm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0000" w:rsidRDefault="005C56BC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Refinancing of both home a</w:t>
            </w:r>
            <w:r>
              <w:rPr>
                <w:rFonts w:ascii="Arial" w:hAnsi="Arial" w:cs="Arial"/>
                <w:sz w:val="20"/>
                <w:szCs w:val="22"/>
              </w:rPr>
              <w:t>nd farms with varied programs, including 1934 Federal Housing Administration (FHA) that insured loans</w:t>
            </w:r>
          </w:p>
        </w:tc>
      </w:tr>
      <w:tr w:rsidR="00000000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0000" w:rsidRDefault="005C56BC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People on the edge </w:t>
            </w:r>
          </w:p>
          <w:p w:rsidR="00000000" w:rsidRDefault="005C56BC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young</w:t>
            </w:r>
          </w:p>
          <w:p w:rsidR="00000000" w:rsidRDefault="005C56BC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  <w:highlight w:val="yellow"/>
              </w:rPr>
              <w:t>old</w:t>
            </w:r>
            <w:r>
              <w:rPr>
                <w:rFonts w:ascii="Arial" w:hAnsi="Arial" w:cs="Arial"/>
                <w:sz w:val="20"/>
                <w:szCs w:val="22"/>
              </w:rPr>
              <w:t xml:space="preserve"> (Scroll down for growing pressures after 1934) </w:t>
            </w:r>
          </w:p>
          <w:p w:rsidR="00000000" w:rsidRDefault="005C56BC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blacks</w:t>
            </w:r>
          </w:p>
          <w:p w:rsidR="00000000" w:rsidRDefault="005C56BC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Okies and others in the dust bowl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0000" w:rsidRDefault="005C56BC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Varied solutions:</w:t>
            </w:r>
          </w:p>
          <w:p w:rsidR="00000000" w:rsidRDefault="005C56BC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/>
                <w:color w:val="0000FF"/>
                <w:sz w:val="20"/>
                <w:szCs w:val="16"/>
              </w:rPr>
              <w:t>CCC</w:t>
            </w:r>
            <w:r>
              <w:rPr>
                <w:rStyle w:val="EndnoteReference"/>
                <w:rFonts w:ascii="Arial" w:hAnsi="Arial"/>
                <w:color w:val="0000FF"/>
                <w:sz w:val="20"/>
                <w:szCs w:val="16"/>
              </w:rPr>
              <w:endnoteReference w:id="10"/>
            </w:r>
            <w:r>
              <w:rPr>
                <w:rFonts w:ascii="Arial" w:hAnsi="Arial" w:cs="Arial"/>
                <w:sz w:val="20"/>
                <w:szCs w:val="22"/>
              </w:rPr>
              <w:t xml:space="preserve">  </w:t>
            </w:r>
            <w:r>
              <w:rPr>
                <w:rFonts w:ascii="Arial" w:hAnsi="Arial" w:cs="Arial"/>
                <w:sz w:val="20"/>
                <w:szCs w:val="22"/>
              </w:rPr>
              <w:t>– Boys/conservation projects Later, programs like the NYA</w:t>
            </w:r>
            <w:r>
              <w:rPr>
                <w:rStyle w:val="EndnoteReference"/>
                <w:rFonts w:ascii="Arial" w:hAnsi="Arial"/>
                <w:color w:val="0000FF"/>
                <w:sz w:val="20"/>
                <w:szCs w:val="16"/>
              </w:rPr>
              <w:endnoteReference w:id="11"/>
            </w:r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</w:p>
          <w:p w:rsidR="00000000" w:rsidRDefault="005C56BC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2"/>
                <w:highlight w:val="yellow"/>
              </w:rPr>
            </w:pPr>
            <w:r>
              <w:rPr>
                <w:rFonts w:ascii="Arial" w:hAnsi="Arial"/>
                <w:color w:val="0000FF"/>
                <w:sz w:val="20"/>
                <w:szCs w:val="16"/>
              </w:rPr>
              <w:t>FERA</w:t>
            </w:r>
            <w:r>
              <w:rPr>
                <w:rStyle w:val="EndnoteReference"/>
                <w:rFonts w:ascii="Arial" w:hAnsi="Arial"/>
                <w:color w:val="0000FF"/>
                <w:sz w:val="20"/>
                <w:szCs w:val="16"/>
              </w:rPr>
              <w:endnoteReference w:id="12"/>
            </w:r>
            <w:r>
              <w:rPr>
                <w:rFonts w:ascii="Arial" w:hAnsi="Arial" w:cs="Arial"/>
                <w:sz w:val="20"/>
                <w:szCs w:val="22"/>
              </w:rPr>
              <w:t xml:space="preserve">  – “made work”   </w:t>
            </w:r>
            <w:r>
              <w:rPr>
                <w:rFonts w:ascii="Arial" w:hAnsi="Arial" w:cs="Arial"/>
                <w:b/>
                <w:sz w:val="20"/>
                <w:szCs w:val="22"/>
              </w:rPr>
              <w:t>Later</w:t>
            </w:r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  <w:highlight w:val="yellow"/>
              </w:rPr>
              <w:t>WPA</w:t>
            </w:r>
            <w:r>
              <w:rPr>
                <w:rStyle w:val="EndnoteReference"/>
                <w:rFonts w:ascii="Arial" w:hAnsi="Arial"/>
                <w:color w:val="0000FF"/>
                <w:sz w:val="20"/>
                <w:szCs w:val="16"/>
              </w:rPr>
              <w:endnoteReference w:id="13"/>
            </w:r>
            <w:r>
              <w:rPr>
                <w:rFonts w:ascii="Arial" w:hAnsi="Arial" w:cs="Arial"/>
                <w:sz w:val="20"/>
                <w:szCs w:val="22"/>
              </w:rPr>
              <w:t xml:space="preserve">  – </w:t>
            </w:r>
            <w:r>
              <w:rPr>
                <w:rFonts w:ascii="Arial" w:hAnsi="Arial" w:cs="Arial"/>
                <w:sz w:val="20"/>
                <w:szCs w:val="22"/>
                <w:highlight w:val="yellow"/>
              </w:rPr>
              <w:t>labor &amp; build libraries and schools</w:t>
            </w:r>
          </w:p>
          <w:p w:rsidR="00000000" w:rsidRDefault="005C56BC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  <w:highlight w:val="yellow"/>
              </w:rPr>
              <w:t>Social Security</w:t>
            </w:r>
            <w:r>
              <w:rPr>
                <w:rStyle w:val="EndnoteReference"/>
                <w:rFonts w:ascii="Arial" w:hAnsi="Arial"/>
                <w:color w:val="0000FF"/>
                <w:sz w:val="20"/>
                <w:szCs w:val="16"/>
              </w:rPr>
              <w:endnoteReference w:id="14"/>
            </w:r>
            <w:r>
              <w:rPr>
                <w:rFonts w:ascii="Arial" w:hAnsi="Arial" w:cs="Arial"/>
                <w:sz w:val="20"/>
                <w:szCs w:val="22"/>
              </w:rPr>
              <w:t xml:space="preserve"> – for aged, orphans, disabled (</w:t>
            </w:r>
            <w:hyperlink w:anchor="pressuresforsocialsecAct" w:history="1">
              <w:r>
                <w:rPr>
                  <w:rStyle w:val="Hyperlink"/>
                  <w:rFonts w:ascii="Arial" w:hAnsi="Arial" w:cs="Arial"/>
                  <w:sz w:val="20"/>
                  <w:szCs w:val="22"/>
                </w:rPr>
                <w:t>Why?</w:t>
              </w:r>
            </w:hyperlink>
            <w:r>
              <w:rPr>
                <w:rFonts w:ascii="Arial" w:hAnsi="Arial" w:cs="Arial"/>
                <w:sz w:val="20"/>
                <w:szCs w:val="22"/>
              </w:rPr>
              <w:t>)</w:t>
            </w:r>
          </w:p>
        </w:tc>
      </w:tr>
      <w:tr w:rsidR="00000000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00000" w:rsidRDefault="005C56BC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  <w:highlight w:val="yellow"/>
              </w:rPr>
              <w:t>Farmers</w:t>
            </w:r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</w:p>
          <w:p w:rsidR="00000000" w:rsidRDefault="005C56BC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2"/>
                <w:highlight w:val="yellow"/>
              </w:rPr>
            </w:pPr>
            <w:r>
              <w:rPr>
                <w:rFonts w:ascii="Arial" w:hAnsi="Arial" w:cs="Arial"/>
                <w:sz w:val="20"/>
                <w:szCs w:val="22"/>
                <w:highlight w:val="yellow"/>
              </w:rPr>
              <w:t>market saturation</w:t>
            </w:r>
          </w:p>
          <w:p w:rsidR="00000000" w:rsidRDefault="005C56BC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2"/>
                <w:highlight w:val="yellow"/>
              </w:rPr>
            </w:pPr>
            <w:r>
              <w:rPr>
                <w:rFonts w:ascii="Arial" w:hAnsi="Arial" w:cs="Arial"/>
                <w:sz w:val="20"/>
                <w:szCs w:val="22"/>
                <w:highlight w:val="yellow"/>
              </w:rPr>
              <w:t>farmers are hurting</w:t>
            </w:r>
          </w:p>
          <w:p w:rsidR="00000000" w:rsidRDefault="005C56BC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  <w:highlight w:val="yellow"/>
              </w:rPr>
              <w:t>farm labor is hurting (25% of work force)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000000" w:rsidRDefault="005C56BC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/>
                <w:color w:val="0000FF"/>
                <w:sz w:val="20"/>
                <w:szCs w:val="16"/>
                <w:highlight w:val="yellow"/>
              </w:rPr>
              <w:t>AAA</w:t>
            </w:r>
            <w:r>
              <w:rPr>
                <w:rStyle w:val="EndnoteReference"/>
                <w:rFonts w:ascii="Arial" w:hAnsi="Arial"/>
                <w:color w:val="0000FF"/>
                <w:sz w:val="20"/>
                <w:szCs w:val="16"/>
              </w:rPr>
              <w:endnoteReference w:id="15"/>
            </w:r>
            <w:r>
              <w:rPr>
                <w:rFonts w:ascii="Arial" w:hAnsi="Arial"/>
                <w:color w:val="0000FF"/>
                <w:sz w:val="20"/>
                <w:szCs w:val="16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</w:rPr>
              <w:t xml:space="preserve">- After </w:t>
            </w:r>
            <w:hyperlink w:anchor="pressuresffromsupremecourt" w:history="1">
              <w:r>
                <w:rPr>
                  <w:rStyle w:val="Hyperlink"/>
                  <w:rFonts w:ascii="Arial" w:hAnsi="Arial" w:cs="Arial"/>
                  <w:sz w:val="20"/>
                  <w:szCs w:val="22"/>
                </w:rPr>
                <w:t>Supreme Court</w:t>
              </w:r>
            </w:hyperlink>
            <w:r>
              <w:rPr>
                <w:rFonts w:ascii="Arial" w:hAnsi="Arial" w:cs="Arial"/>
                <w:sz w:val="20"/>
                <w:szCs w:val="22"/>
              </w:rPr>
              <w:t xml:space="preserve"> actions, soil conservation </w:t>
            </w:r>
          </w:p>
          <w:p w:rsidR="00000000" w:rsidRDefault="005C56BC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Parity to restore price of prior times </w:t>
            </w:r>
          </w:p>
          <w:p w:rsidR="00000000" w:rsidRDefault="005C56BC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2"/>
                <w:highlight w:val="yellow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Paying </w:t>
            </w:r>
            <w:r>
              <w:rPr>
                <w:rFonts w:ascii="Arial" w:hAnsi="Arial" w:cs="Arial"/>
                <w:sz w:val="20"/>
                <w:szCs w:val="22"/>
                <w:highlight w:val="yellow"/>
              </w:rPr>
              <w:t>not to grow/plus plow und</w:t>
            </w:r>
            <w:r>
              <w:rPr>
                <w:rFonts w:ascii="Arial" w:hAnsi="Arial" w:cs="Arial"/>
                <w:sz w:val="20"/>
                <w:szCs w:val="22"/>
                <w:highlight w:val="yellow"/>
              </w:rPr>
              <w:t xml:space="preserve">er initially </w:t>
            </w:r>
          </w:p>
          <w:p w:rsidR="00000000" w:rsidRDefault="005C56BC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Helps big farmers most, with tenants and sharecroppers being the ones whose land the big farmers took out of production</w:t>
            </w:r>
          </w:p>
          <w:p w:rsidR="00000000" w:rsidRDefault="005C56BC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60% income up</w:t>
            </w:r>
          </w:p>
          <w:p w:rsidR="00000000" w:rsidRDefault="005C56BC">
            <w:pPr>
              <w:rPr>
                <w:rFonts w:ascii="Arial" w:hAnsi="Arial" w:cs="Arial"/>
                <w:sz w:val="16"/>
                <w:szCs w:val="16"/>
              </w:rPr>
            </w:pPr>
          </w:p>
          <w:p w:rsidR="00000000" w:rsidRDefault="005C56BC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/>
                <w:color w:val="0000FF"/>
                <w:sz w:val="20"/>
                <w:szCs w:val="16"/>
              </w:rPr>
              <w:t>TVA</w:t>
            </w:r>
            <w:r>
              <w:rPr>
                <w:rStyle w:val="EndnoteReference"/>
                <w:rFonts w:ascii="Arial" w:hAnsi="Arial"/>
                <w:color w:val="0000FF"/>
                <w:sz w:val="20"/>
                <w:szCs w:val="16"/>
              </w:rPr>
              <w:endnoteReference w:id="16"/>
            </w:r>
            <w:r>
              <w:rPr>
                <w:rFonts w:ascii="Arial" w:hAnsi="Arial"/>
                <w:color w:val="0000FF"/>
                <w:sz w:val="20"/>
                <w:szCs w:val="16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</w:rPr>
              <w:t>– conservation and electric power – Results in factory jobs and displacement of some people</w:t>
            </w:r>
          </w:p>
        </w:tc>
      </w:tr>
    </w:tbl>
    <w:p w:rsidR="00000000" w:rsidRDefault="005C56BC">
      <w:pPr>
        <w:rPr>
          <w:rFonts w:ascii="Arial" w:hAnsi="Arial" w:cs="Arial"/>
          <w:sz w:val="6"/>
          <w:szCs w:val="18"/>
        </w:rPr>
      </w:pPr>
    </w:p>
    <w:p w:rsidR="00000000" w:rsidRDefault="005C56BC">
      <w:pPr>
        <w:rPr>
          <w:rFonts w:ascii="Arial" w:hAnsi="Arial"/>
          <w:sz w:val="18"/>
          <w:szCs w:val="18"/>
        </w:rPr>
      </w:pPr>
      <w:bookmarkStart w:id="1" w:name="pressuresforlabor"/>
      <w:bookmarkEnd w:id="1"/>
      <w:r>
        <w:rPr>
          <w:rFonts w:ascii="Arial" w:hAnsi="Arial"/>
          <w:sz w:val="18"/>
          <w:szCs w:val="18"/>
        </w:rPr>
        <w:t>1. Press</w:t>
      </w:r>
      <w:r>
        <w:rPr>
          <w:rFonts w:ascii="Arial" w:hAnsi="Arial"/>
          <w:sz w:val="18"/>
          <w:szCs w:val="18"/>
        </w:rPr>
        <w:t xml:space="preserve">ures from John L. Lewis’s development of the CIO (Congress of Industrial Unions) and a split from the old American Federation of Labor, pressures in 1937 from industries (see Ford, Republic Steel) and the CIO’s </w:t>
      </w:r>
      <w:r>
        <w:rPr>
          <w:rFonts w:ascii="Arial" w:hAnsi="Arial"/>
          <w:sz w:val="18"/>
          <w:szCs w:val="18"/>
          <w:highlight w:val="yellow"/>
        </w:rPr>
        <w:t>sit-down strike</w:t>
      </w:r>
    </w:p>
    <w:p w:rsidR="00000000" w:rsidRDefault="005C56BC">
      <w:pPr>
        <w:rPr>
          <w:rFonts w:ascii="Arial" w:hAnsi="Arial"/>
          <w:sz w:val="18"/>
          <w:szCs w:val="18"/>
        </w:rPr>
      </w:pPr>
      <w:bookmarkStart w:id="2" w:name="pressuresforsocialsecAct"/>
      <w:bookmarkEnd w:id="2"/>
      <w:r>
        <w:rPr>
          <w:rFonts w:ascii="Arial" w:hAnsi="Arial"/>
          <w:sz w:val="18"/>
          <w:szCs w:val="18"/>
        </w:rPr>
        <w:t>2. From 1934 to the act creat</w:t>
      </w:r>
      <w:r>
        <w:rPr>
          <w:rFonts w:ascii="Arial" w:hAnsi="Arial"/>
          <w:sz w:val="18"/>
          <w:szCs w:val="18"/>
        </w:rPr>
        <w:t xml:space="preserve">ing Social Security (pension for old, aid for widows and orphans, unemployment insurance), pressures from left and right – </w:t>
      </w:r>
      <w:r>
        <w:rPr>
          <w:rFonts w:ascii="Arial" w:hAnsi="Arial"/>
          <w:sz w:val="18"/>
          <w:szCs w:val="18"/>
          <w:highlight w:val="yellow"/>
        </w:rPr>
        <w:t>Father Coughlin</w:t>
      </w:r>
      <w:r>
        <w:rPr>
          <w:rFonts w:ascii="Arial" w:hAnsi="Arial"/>
          <w:sz w:val="18"/>
          <w:szCs w:val="18"/>
        </w:rPr>
        <w:t xml:space="preserve"> (Radio Priest), </w:t>
      </w:r>
      <w:r>
        <w:rPr>
          <w:rFonts w:ascii="Arial" w:hAnsi="Arial"/>
          <w:sz w:val="18"/>
          <w:szCs w:val="18"/>
          <w:highlight w:val="yellow"/>
        </w:rPr>
        <w:t>Dr. Frances Townsend</w:t>
      </w:r>
      <w:r>
        <w:rPr>
          <w:rFonts w:ascii="Arial" w:hAnsi="Arial"/>
          <w:sz w:val="18"/>
          <w:szCs w:val="18"/>
        </w:rPr>
        <w:t>, and Huey Long (Louisiana governor and later senator - nicknamed the “King Fish”</w:t>
      </w:r>
      <w:r>
        <w:rPr>
          <w:rFonts w:ascii="Arial" w:hAnsi="Arial"/>
          <w:sz w:val="18"/>
          <w:szCs w:val="18"/>
        </w:rPr>
        <w:t>)</w:t>
      </w:r>
    </w:p>
    <w:p w:rsidR="00000000" w:rsidRDefault="005C56BC">
      <w:pPr>
        <w:rPr>
          <w:rFonts w:ascii="Arial" w:hAnsi="Arial"/>
          <w:sz w:val="18"/>
          <w:szCs w:val="18"/>
        </w:rPr>
      </w:pPr>
      <w:bookmarkStart w:id="3" w:name="pressuresffromsupremecourt"/>
      <w:bookmarkEnd w:id="3"/>
      <w:r>
        <w:rPr>
          <w:rFonts w:ascii="Arial" w:hAnsi="Arial"/>
          <w:sz w:val="18"/>
          <w:szCs w:val="18"/>
        </w:rPr>
        <w:t xml:space="preserve">3. Pressures from the Supreme Court: The Court had declared NRA and parts of AAA unconstitutional. </w:t>
      </w:r>
      <w:r>
        <w:rPr>
          <w:rFonts w:ascii="Arial" w:hAnsi="Arial"/>
          <w:sz w:val="18"/>
          <w:szCs w:val="18"/>
          <w:highlight w:val="yellow"/>
        </w:rPr>
        <w:t>FDR planned an increase in Supreme Court justices (disliked by Americans). The Court, however, backed off</w:t>
      </w:r>
      <w:r>
        <w:rPr>
          <w:rFonts w:ascii="Arial" w:hAnsi="Arial"/>
          <w:sz w:val="18"/>
          <w:szCs w:val="18"/>
          <w:highlight w:val="lightGray"/>
        </w:rPr>
        <w:t>.</w:t>
      </w:r>
      <w:r>
        <w:rPr>
          <w:rFonts w:ascii="Arial" w:hAnsi="Arial"/>
          <w:sz w:val="18"/>
          <w:szCs w:val="18"/>
        </w:rPr>
        <w:t xml:space="preserve"> Both the Wagner Act and Social Security were </w:t>
      </w:r>
      <w:r>
        <w:rPr>
          <w:rFonts w:ascii="Arial" w:hAnsi="Arial"/>
          <w:b/>
          <w:sz w:val="18"/>
          <w:szCs w:val="18"/>
        </w:rPr>
        <w:t>not</w:t>
      </w:r>
      <w:r>
        <w:rPr>
          <w:rFonts w:ascii="Arial" w:hAnsi="Arial"/>
          <w:sz w:val="18"/>
          <w:szCs w:val="18"/>
        </w:rPr>
        <w:t xml:space="preserve"> declared unconstitutional. </w:t>
      </w:r>
    </w:p>
    <w:p w:rsidR="00000000" w:rsidRDefault="005C56BC">
      <w:pPr>
        <w:rPr>
          <w:rFonts w:ascii="Arial" w:hAnsi="Arial"/>
          <w:sz w:val="20"/>
        </w:rPr>
      </w:pPr>
    </w:p>
    <w:tbl>
      <w:tblPr>
        <w:tblW w:w="0" w:type="auto"/>
        <w:tblInd w:w="180" w:type="dxa"/>
        <w:tblLook w:val="04A0" w:firstRow="1" w:lastRow="0" w:firstColumn="1" w:lastColumn="0" w:noHBand="0" w:noVBand="1"/>
      </w:tblPr>
      <w:tblGrid>
        <w:gridCol w:w="8568"/>
      </w:tblGrid>
      <w:tr w:rsidR="00000000">
        <w:tc>
          <w:tcPr>
            <w:tcW w:w="8568" w:type="dxa"/>
            <w:hideMark/>
          </w:tcPr>
          <w:p w:rsidR="00000000" w:rsidRDefault="005C56B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Copyright C. J. Bibus, Ed.D. 2003-2017</w:t>
            </w:r>
          </w:p>
        </w:tc>
      </w:tr>
    </w:tbl>
    <w:p w:rsidR="00000000" w:rsidRDefault="005C56BC">
      <w:pPr>
        <w:rPr>
          <w:rFonts w:ascii="Arial" w:hAnsi="Arial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22"/>
        <w:gridCol w:w="6534"/>
      </w:tblGrid>
      <w:tr w:rsidR="00000000">
        <w:tc>
          <w:tcPr>
            <w:tcW w:w="2322" w:type="dxa"/>
            <w:hideMark/>
          </w:tcPr>
          <w:p w:rsidR="00000000" w:rsidRDefault="005C56BC">
            <w:pPr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WCJC Department:</w:t>
            </w:r>
          </w:p>
        </w:tc>
        <w:tc>
          <w:tcPr>
            <w:tcW w:w="6534" w:type="dxa"/>
            <w:hideMark/>
          </w:tcPr>
          <w:p w:rsidR="00000000" w:rsidRDefault="005C56B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History – Dr. Bibus</w:t>
            </w:r>
          </w:p>
        </w:tc>
      </w:tr>
      <w:tr w:rsidR="00000000">
        <w:tc>
          <w:tcPr>
            <w:tcW w:w="2322" w:type="dxa"/>
            <w:hideMark/>
          </w:tcPr>
          <w:p w:rsidR="00000000" w:rsidRDefault="005C56BC">
            <w:pPr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Contact Information:</w:t>
            </w:r>
          </w:p>
        </w:tc>
        <w:tc>
          <w:tcPr>
            <w:tcW w:w="6534" w:type="dxa"/>
            <w:hideMark/>
          </w:tcPr>
          <w:p w:rsidR="00000000" w:rsidRDefault="005C56B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281.239.1577 or </w:t>
            </w:r>
            <w:hyperlink r:id="rId8" w:history="1">
              <w:r>
                <w:rPr>
                  <w:rStyle w:val="Hyperlink"/>
                  <w:rFonts w:ascii="Arial" w:hAnsi="Arial"/>
                  <w:sz w:val="20"/>
                </w:rPr>
                <w:t>bibusc@wcjc.edu</w:t>
              </w:r>
            </w:hyperlink>
            <w:r>
              <w:rPr>
                <w:rFonts w:ascii="Arial" w:hAnsi="Arial"/>
                <w:sz w:val="20"/>
              </w:rPr>
              <w:t xml:space="preserve"> </w:t>
            </w:r>
          </w:p>
        </w:tc>
      </w:tr>
      <w:tr w:rsidR="00000000">
        <w:tc>
          <w:tcPr>
            <w:tcW w:w="2322" w:type="dxa"/>
            <w:hideMark/>
          </w:tcPr>
          <w:p w:rsidR="00000000" w:rsidRDefault="005C56BC">
            <w:pPr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Last Updated:</w:t>
            </w:r>
          </w:p>
        </w:tc>
        <w:tc>
          <w:tcPr>
            <w:tcW w:w="6534" w:type="dxa"/>
            <w:hideMark/>
          </w:tcPr>
          <w:p w:rsidR="00000000" w:rsidRDefault="005C56B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2017</w:t>
            </w:r>
          </w:p>
        </w:tc>
      </w:tr>
      <w:tr w:rsidR="00000000">
        <w:tc>
          <w:tcPr>
            <w:tcW w:w="2322" w:type="dxa"/>
            <w:hideMark/>
          </w:tcPr>
          <w:p w:rsidR="00000000" w:rsidRDefault="005C56BC">
            <w:pPr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WCJC Home:</w:t>
            </w:r>
          </w:p>
        </w:tc>
        <w:tc>
          <w:tcPr>
            <w:tcW w:w="6534" w:type="dxa"/>
            <w:hideMark/>
          </w:tcPr>
          <w:p w:rsidR="00000000" w:rsidRDefault="005C56BC">
            <w:pPr>
              <w:rPr>
                <w:rFonts w:ascii="Arial" w:hAnsi="Arial"/>
                <w:sz w:val="20"/>
              </w:rPr>
            </w:pPr>
            <w:hyperlink r:id="rId9" w:history="1">
              <w:r>
                <w:rPr>
                  <w:rStyle w:val="Hyperlink"/>
                  <w:rFonts w:ascii="Arial" w:hAnsi="Arial"/>
                  <w:sz w:val="20"/>
                </w:rPr>
                <w:t>http://www.wcjc.edu/</w:t>
              </w:r>
            </w:hyperlink>
          </w:p>
        </w:tc>
      </w:tr>
    </w:tbl>
    <w:p w:rsidR="005C56BC" w:rsidRDefault="005C56BC">
      <w:pPr>
        <w:rPr>
          <w:rFonts w:ascii="Arial" w:hAnsi="Arial"/>
          <w:sz w:val="20"/>
        </w:rPr>
      </w:pPr>
    </w:p>
    <w:sectPr w:rsidR="005C56BC">
      <w:endnotePr>
        <w:numFmt w:val="decimal"/>
      </w:endnotePr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6BC" w:rsidRDefault="005C56BC">
      <w:r>
        <w:separator/>
      </w:r>
    </w:p>
  </w:endnote>
  <w:endnote w:type="continuationSeparator" w:id="0">
    <w:p w:rsidR="005C56BC" w:rsidRDefault="005C56BC">
      <w:r>
        <w:continuationSeparator/>
      </w:r>
    </w:p>
  </w:endnote>
  <w:endnote w:id="1">
    <w:p w:rsidR="00000000" w:rsidRDefault="005C56BC">
      <w:pPr>
        <w:pStyle w:val="EndnoteText"/>
      </w:pPr>
      <w:r>
        <w:rPr>
          <w:rStyle w:val="EndnoteReference"/>
        </w:rPr>
        <w:endnoteRef/>
      </w:r>
      <w:r>
        <w:t xml:space="preserve"> These two items from the 1920s provides background for the FCC (Federal Communications Act) in the 1930s.</w:t>
      </w:r>
    </w:p>
    <w:p w:rsidR="00000000" w:rsidRDefault="005C56BC">
      <w:pPr>
        <w:pStyle w:val="EndnoteText"/>
        <w:numPr>
          <w:ilvl w:val="0"/>
          <w:numId w:val="9"/>
        </w:numPr>
        <w:rPr>
          <w:rFonts w:ascii="Arial" w:hAnsi="Arial" w:cs="Arial"/>
          <w:sz w:val="18"/>
          <w:szCs w:val="18"/>
        </w:rPr>
      </w:pPr>
      <w:r>
        <w:t xml:space="preserve">In 1922, the Secretary of Commerce Herbert Hoover had conferences (with industry + </w:t>
      </w:r>
      <w:r>
        <w:t xml:space="preserve">regions) in Washington and subsequently regulated who used what part of the airwaves. </w:t>
      </w:r>
    </w:p>
    <w:p w:rsidR="00000000" w:rsidRDefault="005C56BC">
      <w:pPr>
        <w:pStyle w:val="EndnoteText"/>
        <w:numPr>
          <w:ilvl w:val="0"/>
          <w:numId w:val="9"/>
        </w:numPr>
        <w:rPr>
          <w:rFonts w:ascii="Arial" w:hAnsi="Arial" w:cs="Arial"/>
          <w:sz w:val="18"/>
          <w:szCs w:val="18"/>
        </w:rPr>
      </w:pPr>
      <w:r>
        <w:t xml:space="preserve">In 1927, Congress passed the Radio Act specifying that the airwaves belonged to the United States (not the broadcasters) and requiring broadcasters to do such things as </w:t>
      </w:r>
      <w:r>
        <w:t xml:space="preserve">act in the public interest and show no favoritism for political candidates. </w:t>
      </w:r>
    </w:p>
    <w:p w:rsidR="00000000" w:rsidRDefault="005C56BC">
      <w:pPr>
        <w:pStyle w:val="EndnoteText"/>
        <w:ind w:left="360"/>
        <w:rPr>
          <w:rFonts w:ascii="Arial" w:hAnsi="Arial" w:cs="Arial"/>
          <w:sz w:val="18"/>
          <w:szCs w:val="18"/>
        </w:rPr>
      </w:pPr>
      <w:r>
        <w:t xml:space="preserve">Source of the two bullets: page 958 and 959 of the </w:t>
      </w:r>
      <w:r>
        <w:rPr>
          <w:i/>
        </w:rPr>
        <w:t>Encyclopedia of American History</w:t>
      </w:r>
      <w:r>
        <w:t xml:space="preserve"> (7</w:t>
      </w:r>
      <w:r>
        <w:rPr>
          <w:vertAlign w:val="superscript"/>
        </w:rPr>
        <w:t>th</w:t>
      </w:r>
      <w:r>
        <w:t xml:space="preserve"> edition) by Morris and Morris.</w:t>
      </w:r>
      <w:r>
        <w:br/>
      </w:r>
    </w:p>
  </w:endnote>
  <w:endnote w:id="2">
    <w:p w:rsidR="00000000" w:rsidRDefault="005C56BC">
      <w:pPr>
        <w:pStyle w:val="EndnoteText"/>
      </w:pPr>
      <w:r>
        <w:rPr>
          <w:rStyle w:val="EndnoteReference"/>
        </w:rPr>
        <w:endnoteRef/>
      </w:r>
      <w:r>
        <w:t xml:space="preserve"> FDIC - Abbreviation for Federal Deposit Insurance Corpor</w:t>
      </w:r>
      <w:r>
        <w:t xml:space="preserve">ation </w:t>
      </w:r>
      <w:r>
        <w:br/>
      </w:r>
    </w:p>
  </w:endnote>
  <w:endnote w:id="3">
    <w:p w:rsidR="00000000" w:rsidRDefault="005C56BC">
      <w:pPr>
        <w:pStyle w:val="EndnoteText"/>
      </w:pPr>
      <w:r>
        <w:rPr>
          <w:rStyle w:val="EndnoteReference"/>
        </w:rPr>
        <w:endnoteRef/>
      </w:r>
      <w:r>
        <w:t xml:space="preserve"> When discussed in news programs, this is frequently referred to by the legislation—the Glass-Steagall Act—creating the FDIC and the rules that banks had to follow, such as that firewall (also called the “Chinese wall”)—</w:t>
      </w:r>
      <w:r>
        <w:rPr>
          <w:b/>
        </w:rPr>
        <w:t xml:space="preserve">if </w:t>
      </w:r>
      <w:r>
        <w:t>the bank was FDIC insure</w:t>
      </w:r>
      <w:r>
        <w:t>d and therefore the U.S. taxpayers (</w:t>
      </w:r>
      <w:r>
        <w:rPr>
          <w:i/>
        </w:rPr>
        <w:t>you</w:t>
      </w:r>
      <w:r>
        <w:t xml:space="preserve">) reimbursed depositors if a bank failed. </w:t>
      </w:r>
    </w:p>
    <w:p w:rsidR="00000000" w:rsidRDefault="005C56BC">
      <w:pPr>
        <w:pStyle w:val="EndnoteText"/>
      </w:pPr>
    </w:p>
  </w:endnote>
  <w:endnote w:id="4">
    <w:p w:rsidR="00000000" w:rsidRDefault="005C56BC">
      <w:pPr>
        <w:pStyle w:val="EndnoteText"/>
      </w:pPr>
      <w:r>
        <w:rPr>
          <w:rStyle w:val="EndnoteReference"/>
        </w:rPr>
        <w:endnoteRef/>
      </w:r>
      <w:r>
        <w:t xml:space="preserve"> </w:t>
      </w:r>
      <w:r>
        <w:rPr>
          <w:i/>
        </w:rPr>
        <w:t>Public</w:t>
      </w:r>
      <w:r>
        <w:t xml:space="preserve"> offering (stock sold to the public) regulated only by the </w:t>
      </w:r>
      <w:r>
        <w:rPr>
          <w:i/>
        </w:rPr>
        <w:t>private</w:t>
      </w:r>
      <w:r>
        <w:t xml:space="preserve"> stock market that did not require accuracy and disclosure of information.</w:t>
      </w:r>
      <w:r>
        <w:br/>
      </w:r>
    </w:p>
  </w:endnote>
  <w:endnote w:id="5">
    <w:p w:rsidR="00000000" w:rsidRDefault="005C56BC">
      <w:pPr>
        <w:pStyle w:val="EndnoteText"/>
      </w:pPr>
      <w:r>
        <w:rPr>
          <w:rStyle w:val="EndnoteReference"/>
        </w:rPr>
        <w:endnoteRef/>
      </w:r>
      <w:r>
        <w:t xml:space="preserve"> SEC - Abbreviation fo</w:t>
      </w:r>
      <w:r>
        <w:t>r Securities and Exchange Commission</w:t>
      </w:r>
    </w:p>
    <w:p w:rsidR="00000000" w:rsidRDefault="005C56BC">
      <w:pPr>
        <w:pStyle w:val="EndnoteText"/>
      </w:pPr>
    </w:p>
  </w:endnote>
  <w:endnote w:id="6">
    <w:p w:rsidR="00000000" w:rsidRDefault="005C56BC">
      <w:pPr>
        <w:pStyle w:val="EndnoteText"/>
      </w:pPr>
      <w:r>
        <w:rPr>
          <w:rStyle w:val="EndnoteReference"/>
        </w:rPr>
        <w:endnoteRef/>
      </w:r>
      <w:r>
        <w:t xml:space="preserve"> NRA - Abbreviation for National Recovery Administration - The Supreme Court later declared this act unconstitutional, with Congress responding by creating the National Labor Relations Board (below) and the Fair Labor</w:t>
      </w:r>
      <w:r>
        <w:t xml:space="preserve"> Standards Act (below)</w:t>
      </w:r>
      <w:r>
        <w:br/>
      </w:r>
    </w:p>
  </w:endnote>
  <w:endnote w:id="7">
    <w:p w:rsidR="00000000" w:rsidRDefault="005C56BC">
      <w:pPr>
        <w:pStyle w:val="EndnoteText"/>
      </w:pPr>
      <w:r>
        <w:rPr>
          <w:rStyle w:val="EndnoteReference"/>
        </w:rPr>
        <w:endnoteRef/>
      </w:r>
      <w:r>
        <w:t xml:space="preserve"> The NRA had included rights for labor unions. With the Supreme Court decision and the NRA gone, the </w:t>
      </w:r>
      <w:r>
        <w:rPr>
          <w:highlight w:val="yellow"/>
        </w:rPr>
        <w:t>Wagner Act (or National Labor Relations Act) dealt with workers being able to organize and negotiate as union. It sets up a Nation</w:t>
      </w:r>
      <w:r>
        <w:rPr>
          <w:highlight w:val="yellow"/>
        </w:rPr>
        <w:t>al Labor Relations Board whose purpose included to monitoring union elections and to act if employers followed violated these laws.</w:t>
      </w:r>
    </w:p>
    <w:p w:rsidR="00000000" w:rsidRDefault="005C56BC">
      <w:pPr>
        <w:pStyle w:val="EndnoteText"/>
      </w:pPr>
    </w:p>
  </w:endnote>
  <w:endnote w:id="8">
    <w:p w:rsidR="00000000" w:rsidRDefault="005C56BC">
      <w:pPr>
        <w:pStyle w:val="EndnoteText"/>
      </w:pPr>
      <w:r>
        <w:rPr>
          <w:rStyle w:val="EndnoteReference"/>
        </w:rPr>
        <w:endnoteRef/>
      </w:r>
      <w:r>
        <w:t xml:space="preserve"> The NRA had included standards for minimum pay and maximum hours. </w:t>
      </w:r>
      <w:r>
        <w:br/>
        <w:t>With the NRA gone, in 1938, Congress passed the Fair L</w:t>
      </w:r>
      <w:r>
        <w:t>abor Standards Act providing for minimum pay and maximum hours (40 per week).</w:t>
      </w:r>
    </w:p>
    <w:p w:rsidR="00000000" w:rsidRDefault="005C56BC">
      <w:pPr>
        <w:pStyle w:val="EndnoteText"/>
      </w:pPr>
    </w:p>
  </w:endnote>
  <w:endnote w:id="9">
    <w:p w:rsidR="00000000" w:rsidRDefault="005C56BC">
      <w:pPr>
        <w:pStyle w:val="EndnoteText"/>
      </w:pPr>
      <w:r>
        <w:rPr>
          <w:rStyle w:val="EndnoteReference"/>
        </w:rPr>
        <w:endnoteRef/>
      </w:r>
      <w:r>
        <w:t xml:space="preserve"> PWA - Abbreviation for Public Works Administration (</w:t>
      </w:r>
      <w:r>
        <w:rPr>
          <w:i/>
        </w:rPr>
        <w:t>Public works</w:t>
      </w:r>
      <w:r>
        <w:t xml:space="preserve"> = term used for taxpayer-owned resources such as water, electricity) – Programs hired both whites and blacks a</w:t>
      </w:r>
      <w:r>
        <w:t>nd also built in black areas (not just white)\</w:t>
      </w:r>
    </w:p>
    <w:p w:rsidR="00000000" w:rsidRDefault="005C56BC">
      <w:pPr>
        <w:pStyle w:val="EndnoteText"/>
      </w:pPr>
    </w:p>
  </w:endnote>
  <w:endnote w:id="10">
    <w:p w:rsidR="00000000" w:rsidRDefault="005C56BC">
      <w:pPr>
        <w:pStyle w:val="EndnoteText"/>
      </w:pPr>
      <w:r>
        <w:rPr>
          <w:rStyle w:val="EndnoteReference"/>
        </w:rPr>
        <w:endnoteRef/>
      </w:r>
      <w:r>
        <w:t xml:space="preserve"> CCC - Abbreviation for Civilian Conservation Corps|</w:t>
      </w:r>
      <w:r>
        <w:br/>
      </w:r>
    </w:p>
  </w:endnote>
  <w:endnote w:id="11">
    <w:p w:rsidR="00000000" w:rsidRDefault="005C56BC">
      <w:pPr>
        <w:pStyle w:val="EndnoteText"/>
      </w:pPr>
      <w:r>
        <w:rPr>
          <w:rStyle w:val="EndnoteReference"/>
        </w:rPr>
        <w:endnoteRef/>
      </w:r>
      <w:r>
        <w:t xml:space="preserve"> NYA - Abbreviation for National Youth Administration, including the Office of Negro Affairs, under Mary McLeod Bethune</w:t>
      </w:r>
      <w:r>
        <w:br/>
      </w:r>
    </w:p>
  </w:endnote>
  <w:endnote w:id="12">
    <w:p w:rsidR="00000000" w:rsidRDefault="005C56BC">
      <w:pPr>
        <w:pStyle w:val="EndnoteText"/>
      </w:pPr>
      <w:r>
        <w:rPr>
          <w:rStyle w:val="EndnoteReference"/>
        </w:rPr>
        <w:endnoteRef/>
      </w:r>
      <w:r>
        <w:t xml:space="preserve"> FERA - Abbreviation for </w:t>
      </w:r>
      <w:r>
        <w:rPr>
          <w:bCs/>
        </w:rPr>
        <w:t>Federal Emergency Relief Administration (</w:t>
      </w:r>
      <w:r>
        <w:rPr>
          <w:bCs/>
          <w:i/>
        </w:rPr>
        <w:t>relief</w:t>
      </w:r>
      <w:r>
        <w:rPr>
          <w:bCs/>
        </w:rPr>
        <w:t xml:space="preserve"> = term used for immediate issues such as food, shelter)</w:t>
      </w:r>
      <w:r>
        <w:rPr>
          <w:bCs/>
        </w:rPr>
        <w:br/>
      </w:r>
    </w:p>
  </w:endnote>
  <w:endnote w:id="13">
    <w:p w:rsidR="00000000" w:rsidRDefault="005C56BC">
      <w:pPr>
        <w:pStyle w:val="EndnoteText"/>
      </w:pPr>
      <w:r>
        <w:rPr>
          <w:rStyle w:val="EndnoteReference"/>
        </w:rPr>
        <w:endnoteRef/>
      </w:r>
      <w:r>
        <w:t xml:space="preserve"> WPA - Abbreviation for Works Progress Administration  - Jobs and relief to both whites and blacks</w:t>
      </w:r>
      <w:r>
        <w:br/>
      </w:r>
    </w:p>
  </w:endnote>
  <w:endnote w:id="14">
    <w:p w:rsidR="00000000" w:rsidRDefault="005C56BC">
      <w:pPr>
        <w:pStyle w:val="EndnoteText"/>
      </w:pPr>
      <w:r>
        <w:rPr>
          <w:rStyle w:val="EndnoteReference"/>
        </w:rPr>
        <w:endnoteRef/>
      </w:r>
      <w:r>
        <w:t xml:space="preserve"> Funding - payroll tax jointly on employer and em</w:t>
      </w:r>
      <w:r>
        <w:t>ployee; discussed then as insurance</w:t>
      </w:r>
      <w:r>
        <w:br/>
      </w:r>
    </w:p>
  </w:endnote>
  <w:endnote w:id="15">
    <w:p w:rsidR="00000000" w:rsidRDefault="005C56BC">
      <w:pPr>
        <w:pStyle w:val="EndnoteText"/>
      </w:pPr>
      <w:r>
        <w:rPr>
          <w:rStyle w:val="EndnoteReference"/>
        </w:rPr>
        <w:endnoteRef/>
      </w:r>
      <w:r>
        <w:t xml:space="preserve"> AAA - Abbreviation for </w:t>
      </w:r>
      <w:r>
        <w:rPr>
          <w:bCs/>
        </w:rPr>
        <w:t>Agricultural Adjustment Act</w:t>
      </w:r>
      <w:r>
        <w:rPr>
          <w:bCs/>
        </w:rPr>
        <w:br/>
      </w:r>
    </w:p>
  </w:endnote>
  <w:endnote w:id="16">
    <w:p w:rsidR="00000000" w:rsidRDefault="005C56BC">
      <w:pPr>
        <w:pStyle w:val="EndnoteText"/>
      </w:pPr>
      <w:r>
        <w:rPr>
          <w:rStyle w:val="EndnoteReference"/>
        </w:rPr>
        <w:endnoteRef/>
      </w:r>
      <w:r>
        <w:t xml:space="preserve"> TVA - Abbreviation for </w:t>
      </w:r>
      <w:r>
        <w:rPr>
          <w:bCs/>
        </w:rPr>
        <w:t xml:space="preserve">Tennessee Valley Authority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6BC" w:rsidRDefault="005C56BC">
      <w:r>
        <w:separator/>
      </w:r>
    </w:p>
  </w:footnote>
  <w:footnote w:type="continuationSeparator" w:id="0">
    <w:p w:rsidR="005C56BC" w:rsidRDefault="005C5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31D14"/>
    <w:multiLevelType w:val="hybridMultilevel"/>
    <w:tmpl w:val="59BE485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874EA9"/>
    <w:multiLevelType w:val="hybridMultilevel"/>
    <w:tmpl w:val="EE62E0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112254"/>
    <w:multiLevelType w:val="multilevel"/>
    <w:tmpl w:val="38F43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AB037CA"/>
    <w:multiLevelType w:val="hybridMultilevel"/>
    <w:tmpl w:val="89FAC3E2"/>
    <w:lvl w:ilvl="0" w:tplc="52448BCC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ADA5091"/>
    <w:multiLevelType w:val="hybridMultilevel"/>
    <w:tmpl w:val="84843DA8"/>
    <w:lvl w:ilvl="0" w:tplc="A568190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2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4B6E50"/>
    <w:rsid w:val="004B6E50"/>
    <w:rsid w:val="005C56BC"/>
    <w:rsid w:val="0077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481205-4EFB-4024-860A-478A2B6C7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" w:eastAsiaTheme="minorEastAsia" w:hAnsi="Arial" w:cs="Arial"/>
      <w:b/>
      <w:bCs/>
      <w:kern w:val="32"/>
      <w:sz w:val="44"/>
      <w:szCs w:val="44"/>
      <w:vertAlign w:val="superscri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styleId="FootnoteText">
    <w:name w:val="footnote text"/>
    <w:basedOn w:val="Normal"/>
    <w:link w:val="FootnoteTextChar"/>
    <w:semiHidden/>
    <w:unhideWhenUsed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locked/>
  </w:style>
  <w:style w:type="paragraph" w:styleId="EndnoteText">
    <w:name w:val="endnote text"/>
    <w:basedOn w:val="Normal"/>
    <w:link w:val="EndnoteTextChar"/>
    <w:semiHidden/>
    <w:unhideWhenUsed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locked/>
  </w:style>
  <w:style w:type="character" w:styleId="FootnoteReference">
    <w:name w:val="footnote reference"/>
    <w:basedOn w:val="DefaultParagraphFont"/>
    <w:semiHidden/>
    <w:unhideWhenUsed/>
    <w:rPr>
      <w:vertAlign w:val="superscript"/>
    </w:rPr>
  </w:style>
  <w:style w:type="character" w:styleId="EndnoteReference">
    <w:name w:val="endnote reference"/>
    <w:basedOn w:val="DefaultParagraphFont"/>
    <w:semiHidden/>
    <w:unhideWhenUsed/>
    <w:rPr>
      <w:vertAlign w:val="superscript"/>
    </w:rPr>
  </w:style>
  <w:style w:type="table" w:styleId="TableGrid">
    <w:name w:val="Table Grid"/>
    <w:basedOn w:val="TableNormal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busc@wcjc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wcjc.ed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DB3AF-5FEC-4E20-8E67-E9D298F3B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Thinking Tool: Great Depression and New Deal</vt:lpstr>
    </vt:vector>
  </TitlesOfParts>
  <Company>WCJC</Company>
  <LinksUpToDate>false</LinksUpToDate>
  <CharactersWithSpaces>4244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Thinking Tool: Great Depression and New Deal</dc:title>
  <dc:subject/>
  <dc:creator>lib142</dc:creator>
  <cp:keywords/>
  <dc:description/>
  <cp:lastModifiedBy>cjbibus</cp:lastModifiedBy>
  <cp:revision>2</cp:revision>
  <cp:lastPrinted>2017-03-29T12:19:00Z</cp:lastPrinted>
  <dcterms:created xsi:type="dcterms:W3CDTF">2017-03-29T12:52:00Z</dcterms:created>
  <dcterms:modified xsi:type="dcterms:W3CDTF">2017-03-29T12:52:00Z</dcterms:modified>
</cp:coreProperties>
</file>