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1B" w:rsidRDefault="00863534">
      <w:pPr>
        <w:rPr>
          <w:b/>
        </w:rPr>
      </w:pPr>
      <w:r w:rsidRPr="00863534">
        <w:rPr>
          <w:b/>
        </w:rPr>
        <w:t>What You Do</w:t>
      </w:r>
      <w:r>
        <w:rPr>
          <w:b/>
        </w:rPr>
        <w:t xml:space="preserve"> with this Feedback on the 1</w:t>
      </w:r>
      <w:r w:rsidRPr="00863534">
        <w:rPr>
          <w:b/>
          <w:vertAlign w:val="superscript"/>
        </w:rPr>
        <w:t>st</w:t>
      </w:r>
      <w:r>
        <w:rPr>
          <w:b/>
        </w:rPr>
        <w:t xml:space="preserve"> Primary Writing</w:t>
      </w:r>
    </w:p>
    <w:p w:rsidR="00863534" w:rsidRPr="00863534" w:rsidRDefault="00863534">
      <w:r w:rsidRPr="00863534">
        <w:rPr>
          <w:b/>
          <w:i/>
          <w:highlight w:val="cyan"/>
        </w:rPr>
        <w:t>Tip:</w:t>
      </w:r>
      <w:r>
        <w:rPr>
          <w:b/>
          <w:i/>
        </w:rPr>
        <w:t xml:space="preserve"> </w:t>
      </w:r>
      <w:r w:rsidRPr="00863534">
        <w:t>Be</w:t>
      </w:r>
      <w:r>
        <w:t xml:space="preserve"> sure you understand any errors in evidence before you do the Peer Review. You also must do the peer reviews exactly as your instructor grades papers: the primaries, the textbook, and the paper are on the desk. You check each quote, each citation, </w:t>
      </w:r>
      <w:proofErr w:type="gramStart"/>
      <w:r>
        <w:t>each</w:t>
      </w:r>
      <w:proofErr w:type="gramEnd"/>
      <w:r>
        <w:t xml:space="preserve"> fact for whether it meets the 5 Good Habits for Evidence.</w:t>
      </w:r>
    </w:p>
    <w:p w:rsidR="00863534" w:rsidRDefault="00863534"/>
    <w:p w:rsidR="00C0681B" w:rsidRDefault="00863534">
      <w:r>
        <w:t xml:space="preserve">In the rubric below, your instructor has </w:t>
      </w:r>
      <w:r w:rsidR="00C0681B">
        <w:t xml:space="preserve">underlined the errors in </w:t>
      </w:r>
      <w:r>
        <w:t xml:space="preserve">your </w:t>
      </w:r>
      <w:r w:rsidR="00C0681B">
        <w:t xml:space="preserve">evidence. </w:t>
      </w:r>
      <w:r>
        <w:t>Some underlined errors are followed by Q</w:t>
      </w:r>
      <w:r w:rsidR="00C0681B">
        <w:t xml:space="preserve">1, Q2, Q3, </w:t>
      </w:r>
      <w:proofErr w:type="gramStart"/>
      <w:r w:rsidR="00C0681B">
        <w:t>Q4</w:t>
      </w:r>
      <w:proofErr w:type="gramEnd"/>
      <w:r w:rsidR="00C0681B">
        <w:t xml:space="preserve">. For example, Q1 means that specific </w:t>
      </w:r>
      <w:r w:rsidR="00C0681B">
        <w:t>error is in Question</w:t>
      </w:r>
      <w:r w:rsidR="00C0681B">
        <w:t xml:space="preserve"> 1. </w:t>
      </w:r>
    </w:p>
    <w:p w:rsidR="00863534" w:rsidRDefault="00C0681B">
      <w:r>
        <w:t>If you</w:t>
      </w:r>
      <w:r w:rsidR="00863534">
        <w:t>r rubric shows</w:t>
      </w:r>
      <w:r>
        <w:t xml:space="preserve"> errors marked in the “F” and “D” columns, the highest grade you can make </w:t>
      </w:r>
      <w:r w:rsidR="00863534">
        <w:t>for the 20 point writing is 13.9</w:t>
      </w:r>
      <w:r>
        <w:t xml:space="preserve"> and </w:t>
      </w:r>
      <w:r w:rsidR="00863534">
        <w:t xml:space="preserve">also </w:t>
      </w:r>
      <w:r>
        <w:t xml:space="preserve">you make a 0 on the Good Habits for Evidence. </w:t>
      </w:r>
    </w:p>
    <w:p w:rsidR="00863534" w:rsidRDefault="00863534"/>
    <w:p w:rsidR="00C0681B" w:rsidRDefault="00C0681B">
      <w:r>
        <w:t xml:space="preserve">If you have a 0 for the </w:t>
      </w:r>
      <w:r w:rsidR="00863534">
        <w:t xml:space="preserve">Good Habits for Evidence and what to change it the full </w:t>
      </w:r>
      <w:proofErr w:type="spellStart"/>
      <w:r w:rsidR="00863534">
        <w:t>poing</w:t>
      </w:r>
      <w:proofErr w:type="spellEnd"/>
      <w:r w:rsidR="00863534">
        <w:t xml:space="preserve">, read the instructions below the wide </w:t>
      </w:r>
      <w:r w:rsidR="00863534" w:rsidRPr="00863534">
        <w:rPr>
          <w:shd w:val="clear" w:color="auto" w:fill="FFFF00"/>
        </w:rPr>
        <w:t>yellow</w:t>
      </w:r>
      <w:r w:rsidR="00863534">
        <w:t xml:space="preserve"> line. Make sure you do all things in </w:t>
      </w:r>
      <w:r w:rsidR="00863534" w:rsidRPr="00863534">
        <w:rPr>
          <w:shd w:val="clear" w:color="auto" w:fill="FFFF00"/>
        </w:rPr>
        <w:t>yellow</w:t>
      </w:r>
      <w:r w:rsidR="00863534">
        <w:t>.</w:t>
      </w:r>
    </w:p>
    <w:p w:rsidR="00863534" w:rsidRDefault="00863534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270"/>
        <w:gridCol w:w="1794"/>
        <w:gridCol w:w="1975"/>
        <w:gridCol w:w="1406"/>
        <w:gridCol w:w="1738"/>
        <w:gridCol w:w="1584"/>
        <w:gridCol w:w="341"/>
      </w:tblGrid>
      <w:tr w:rsidR="00367851" w:rsidTr="00C0681B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5841A7" w:rsidP="005841A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5841A7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</w:t>
            </w:r>
            <w:r w:rsidR="00367851">
              <w:rPr>
                <w:i/>
                <w:sz w:val="20"/>
                <w:szCs w:val="20"/>
              </w:rPr>
              <w:t xml:space="preserve">Writing </w:t>
            </w:r>
            <w:r w:rsidR="00367851">
              <w:rPr>
                <w:sz w:val="20"/>
                <w:szCs w:val="20"/>
              </w:rPr>
              <w:t xml:space="preserve">___ out of </w:t>
            </w:r>
            <w:r>
              <w:rPr>
                <w:i/>
                <w:sz w:val="20"/>
                <w:szCs w:val="20"/>
              </w:rPr>
              <w:t>20</w:t>
            </w:r>
            <w:r w:rsidR="00367851">
              <w:rPr>
                <w:sz w:val="20"/>
                <w:szCs w:val="20"/>
              </w:rPr>
              <w:t xml:space="preserve"> points for content. </w:t>
            </w:r>
            <w:proofErr w:type="gramStart"/>
            <w:r w:rsidR="00367851">
              <w:rPr>
                <w:sz w:val="20"/>
                <w:szCs w:val="20"/>
              </w:rPr>
              <w:t>Its</w:t>
            </w:r>
            <w:proofErr w:type="gramEnd"/>
            <w:r w:rsidR="00367851">
              <w:rPr>
                <w:sz w:val="20"/>
                <w:szCs w:val="20"/>
              </w:rPr>
              <w:t xml:space="preserve"> Good Habits for Evidence __ out of </w:t>
            </w:r>
            <w:r>
              <w:rPr>
                <w:i/>
                <w:sz w:val="20"/>
                <w:szCs w:val="20"/>
              </w:rPr>
              <w:t>20</w:t>
            </w:r>
            <w:r w:rsidR="00367851">
              <w:rPr>
                <w:sz w:val="20"/>
                <w:szCs w:val="20"/>
              </w:rPr>
              <w:t>.    Total __</w:t>
            </w:r>
          </w:p>
        </w:tc>
      </w:tr>
      <w:tr w:rsidR="00367851" w:rsidTr="00C0681B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367851" w:rsidTr="00C0681B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Pr="00A1673E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 w:rsidRPr="00A1673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A1673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C0681B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</w:t>
            </w:r>
            <w:proofErr w:type="spellStart"/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patchwrite</w:t>
            </w:r>
            <w:proofErr w:type="spellEnd"/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C0681B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C0681B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7851" w:rsidRDefault="00367851" w:rsidP="00367851">
      <w:pPr>
        <w:rPr>
          <w:sz w:val="4"/>
          <w:szCs w:val="4"/>
        </w:rPr>
      </w:pPr>
    </w:p>
    <w:p w:rsidR="00367851" w:rsidRDefault="00367851" w:rsidP="00367851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851" w:rsidRDefault="00367851" w:rsidP="00B226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7851" w:rsidRDefault="00863534" w:rsidP="00863534">
      <w:pPr>
        <w:shd w:val="clear" w:color="auto" w:fill="FFFF0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</w:p>
    <w:tbl>
      <w:tblPr>
        <w:tblStyle w:val="TableGrid"/>
        <w:tblW w:w="11332" w:type="dxa"/>
        <w:tblLook w:val="04A0" w:firstRow="1" w:lastRow="0" w:firstColumn="1" w:lastColumn="0" w:noHBand="0" w:noVBand="1"/>
      </w:tblPr>
      <w:tblGrid>
        <w:gridCol w:w="423"/>
        <w:gridCol w:w="6589"/>
        <w:gridCol w:w="236"/>
        <w:gridCol w:w="4084"/>
      </w:tblGrid>
      <w:tr w:rsidR="00C0681B" w:rsidRPr="00B70A3A" w:rsidTr="00C0681B"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Directions: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#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with an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error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in the rubric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is the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same #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as the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>Good Habit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 in the tutorial that prevents that error. If a # is underlined in the rubric, put an X below. Example: If your instructor underlined </w:t>
            </w:r>
            <w:r w:rsidRPr="00B70A3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1. Used an unreliable source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 xml:space="preserve">on your rubric, then put an X beside 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Habit 1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>below. You also</w:t>
            </w:r>
            <w:r w:rsidRPr="00B70A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must </w:t>
            </w:r>
            <w:r w:rsidRPr="00B70A3A">
              <w:rPr>
                <w:rFonts w:ascii="Arial" w:eastAsia="Times New Roman" w:hAnsi="Arial" w:cs="Arial"/>
                <w:sz w:val="18"/>
                <w:szCs w:val="18"/>
              </w:rPr>
              <w:t>go look at Habit 1’s preventions.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C0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If you have a 0 for the 5 Good Habits for Evidence, you can change that to a 20 in by marking the yellow sections on the left and right of this form.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Below, mark a </w:t>
            </w:r>
            <w:r w:rsidRPr="00C0681B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</w:tc>
      </w:tr>
      <w:tr w:rsidR="00C0681B" w:rsidRPr="00B70A3A" w:rsidTr="00C0681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0681B" w:rsidRPr="00C0681B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1. </w:t>
            </w:r>
            <w:hyperlink r:id="rId8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Reliable Sources Only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  <w:r w:rsidRPr="00C0681B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__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a) I understand the rubric and </w:t>
            </w:r>
            <w:r>
              <w:rPr>
                <w:rFonts w:ascii="Arial" w:hAnsi="Arial" w:cs="Arial"/>
                <w:sz w:val="18"/>
                <w:szCs w:val="18"/>
              </w:rPr>
              <w:t>examined my writing so I will never make these errors again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If you do, I know I will be blocked from future writing until we talk.</w:t>
            </w:r>
          </w:p>
          <w:p w:rsidR="00C0681B" w:rsidRPr="00B70A3A" w:rsidRDefault="00C0681B" w:rsidP="00863534">
            <w:pPr>
              <w:rPr>
                <w:rFonts w:ascii="Arial" w:hAnsi="Arial" w:cs="Arial"/>
                <w:sz w:val="18"/>
                <w:szCs w:val="18"/>
              </w:rPr>
            </w:pPr>
            <w:r w:rsidRPr="00C0681B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_</w:t>
            </w:r>
            <w:r w:rsidR="00863534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_</w:t>
            </w:r>
            <w:r w:rsidR="00863534">
              <w:rPr>
                <w:rFonts w:ascii="Arial" w:hAnsi="Arial" w:cs="Arial"/>
                <w:sz w:val="18"/>
                <w:szCs w:val="18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) I would like to t</w:t>
            </w:r>
            <w:r w:rsidRPr="00B70A3A">
              <w:rPr>
                <w:rFonts w:ascii="Arial" w:hAnsi="Arial" w:cs="Arial"/>
                <w:sz w:val="18"/>
                <w:szCs w:val="18"/>
              </w:rPr>
              <w:t xml:space="preserve">alk with my instructor so I </w:t>
            </w:r>
            <w:r>
              <w:rPr>
                <w:rFonts w:ascii="Arial" w:hAnsi="Arial" w:cs="Arial"/>
                <w:sz w:val="18"/>
                <w:szCs w:val="18"/>
              </w:rPr>
              <w:t xml:space="preserve">fully </w:t>
            </w:r>
            <w:r w:rsidRPr="00B70A3A">
              <w:rPr>
                <w:rFonts w:ascii="Arial" w:hAnsi="Arial" w:cs="Arial"/>
                <w:sz w:val="18"/>
                <w:szCs w:val="18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how to prevent these errors.</w:t>
            </w:r>
          </w:p>
        </w:tc>
      </w:tr>
      <w:tr w:rsidR="00C0681B" w:rsidRPr="00B70A3A" w:rsidTr="00C0681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0681B" w:rsidRPr="00C0681B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2. </w:t>
            </w:r>
            <w:hyperlink r:id="rId9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81B" w:rsidRPr="00B70A3A" w:rsidTr="00C0681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0681B" w:rsidRPr="00C0681B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3. </w:t>
            </w:r>
            <w:hyperlink r:id="rId10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81B" w:rsidRPr="00B70A3A" w:rsidTr="00C0681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0681B" w:rsidRPr="00C0681B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4. </w:t>
            </w:r>
            <w:hyperlink r:id="rId11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No “Half-Copy” Plagiarism or “</w:t>
              </w:r>
              <w:proofErr w:type="spellStart"/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Patchwriting</w:t>
              </w:r>
              <w:proofErr w:type="spellEnd"/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”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81B" w:rsidRPr="00B70A3A" w:rsidTr="00C0681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0681B" w:rsidRPr="00C0681B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  <w:r w:rsidRPr="00B70A3A">
              <w:rPr>
                <w:rFonts w:ascii="Arial" w:hAnsi="Arial" w:cs="Arial"/>
                <w:sz w:val="18"/>
                <w:szCs w:val="18"/>
              </w:rPr>
              <w:t xml:space="preserve">Habit 5. </w:t>
            </w:r>
            <w:hyperlink r:id="rId12" w:history="1">
              <w:r w:rsidRPr="00B70A3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Quotation Changes Revealed Clearly</w:t>
              </w:r>
            </w:hyperlink>
            <w:r w:rsidRPr="00B70A3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B" w:rsidRPr="00B70A3A" w:rsidRDefault="00C0681B" w:rsidP="00D83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681B" w:rsidRPr="00863534" w:rsidRDefault="00C0681B" w:rsidP="00367851">
      <w:pPr>
        <w:rPr>
          <w:rFonts w:ascii="Arial" w:eastAsia="Times New Roman" w:hAnsi="Arial" w:cs="Times New Roman"/>
          <w:sz w:val="20"/>
          <w:szCs w:val="24"/>
        </w:rPr>
      </w:pPr>
    </w:p>
    <w:sectPr w:rsidR="00C0681B" w:rsidRPr="00863534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54" w:rsidRDefault="00440154" w:rsidP="00C27B4A">
      <w:r>
        <w:separator/>
      </w:r>
    </w:p>
  </w:endnote>
  <w:endnote w:type="continuationSeparator" w:id="0">
    <w:p w:rsidR="00440154" w:rsidRDefault="00440154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54" w:rsidRDefault="00440154" w:rsidP="00C27B4A">
      <w:r>
        <w:separator/>
      </w:r>
    </w:p>
  </w:footnote>
  <w:footnote w:type="continuationSeparator" w:id="0">
    <w:p w:rsidR="00440154" w:rsidRDefault="00440154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43489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05E1C"/>
    <w:rsid w:val="00433562"/>
    <w:rsid w:val="00433760"/>
    <w:rsid w:val="00440154"/>
    <w:rsid w:val="004401CC"/>
    <w:rsid w:val="0044554C"/>
    <w:rsid w:val="0045178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567E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7F2A46"/>
    <w:rsid w:val="008415D4"/>
    <w:rsid w:val="00841B02"/>
    <w:rsid w:val="00845348"/>
    <w:rsid w:val="008512E8"/>
    <w:rsid w:val="00854117"/>
    <w:rsid w:val="00863534"/>
    <w:rsid w:val="008801F4"/>
    <w:rsid w:val="008909C4"/>
    <w:rsid w:val="008944BA"/>
    <w:rsid w:val="008A0AF8"/>
    <w:rsid w:val="008A15D0"/>
    <w:rsid w:val="008A6289"/>
    <w:rsid w:val="008B0425"/>
    <w:rsid w:val="008B3F4F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70574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0681B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53FDA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4B10"/>
    <w:rsid w:val="00F25B01"/>
    <w:rsid w:val="00F26116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F2D0-AC6B-4D24-842B-167388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E72A-9DFA-4F7F-A327-C69AAA6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2</cp:revision>
  <cp:lastPrinted>2017-01-27T13:02:00Z</cp:lastPrinted>
  <dcterms:created xsi:type="dcterms:W3CDTF">2017-04-02T18:32:00Z</dcterms:created>
  <dcterms:modified xsi:type="dcterms:W3CDTF">2017-04-02T18:32:00Z</dcterms:modified>
</cp:coreProperties>
</file>