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F79AF" w:rsidRDefault="00B33ED7">
      <w:pPr>
        <w:pStyle w:val="TOC2"/>
        <w:tabs>
          <w:tab w:val="right" w:leader="dot" w:pos="14390"/>
        </w:tabs>
        <w:rPr>
          <w:rFonts w:eastAsiaTheme="minorEastAsia"/>
          <w:noProof/>
        </w:rPr>
      </w:pPr>
      <w:r>
        <w:fldChar w:fldCharType="begin"/>
      </w:r>
      <w:r>
        <w:instrText xml:space="preserve"> TOC \o "2-2" \h \z \u </w:instrText>
      </w:r>
      <w:r>
        <w:fldChar w:fldCharType="separate"/>
      </w:r>
      <w:hyperlink w:anchor="_Toc16983946" w:history="1">
        <w:r w:rsidR="002F79AF" w:rsidRPr="003B01B9">
          <w:rPr>
            <w:rStyle w:val="Hyperlink"/>
            <w:noProof/>
          </w:rPr>
          <w:t>How to Login and Succeed with this Course</w:t>
        </w:r>
        <w:r w:rsidR="002F79AF">
          <w:rPr>
            <w:noProof/>
            <w:webHidden/>
          </w:rPr>
          <w:tab/>
        </w:r>
        <w:r w:rsidR="002F79AF">
          <w:rPr>
            <w:noProof/>
            <w:webHidden/>
          </w:rPr>
          <w:fldChar w:fldCharType="begin"/>
        </w:r>
        <w:r w:rsidR="002F79AF">
          <w:rPr>
            <w:noProof/>
            <w:webHidden/>
          </w:rPr>
          <w:instrText xml:space="preserve"> PAGEREF _Toc16983946 \h </w:instrText>
        </w:r>
        <w:r w:rsidR="002F79AF">
          <w:rPr>
            <w:noProof/>
            <w:webHidden/>
          </w:rPr>
        </w:r>
        <w:r w:rsidR="002F79AF">
          <w:rPr>
            <w:noProof/>
            <w:webHidden/>
          </w:rPr>
          <w:fldChar w:fldCharType="separate"/>
        </w:r>
        <w:r w:rsidR="002F79AF">
          <w:rPr>
            <w:noProof/>
            <w:webHidden/>
          </w:rPr>
          <w:t>2</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7" w:history="1">
        <w:r w:rsidR="002F79AF" w:rsidRPr="003B01B9">
          <w:rPr>
            <w:rStyle w:val="Hyperlink"/>
            <w:i/>
            <w:noProof/>
            <w:shd w:val="clear" w:color="auto" w:fill="FFC000"/>
          </w:rPr>
          <w:t>Caution:</w:t>
        </w:r>
        <w:r w:rsidR="002F79AF" w:rsidRPr="003B01B9">
          <w:rPr>
            <w:rStyle w:val="Hyperlink"/>
            <w:noProof/>
          </w:rPr>
          <w:t xml:space="preserve"> For Your Sake, Do Not Come Into the Course This Way</w:t>
        </w:r>
        <w:r w:rsidR="002F79AF">
          <w:rPr>
            <w:noProof/>
            <w:webHidden/>
          </w:rPr>
          <w:tab/>
        </w:r>
        <w:r w:rsidR="002F79AF">
          <w:rPr>
            <w:noProof/>
            <w:webHidden/>
          </w:rPr>
          <w:fldChar w:fldCharType="begin"/>
        </w:r>
        <w:r w:rsidR="002F79AF">
          <w:rPr>
            <w:noProof/>
            <w:webHidden/>
          </w:rPr>
          <w:instrText xml:space="preserve"> PAGEREF _Toc16983947 \h </w:instrText>
        </w:r>
        <w:r w:rsidR="002F79AF">
          <w:rPr>
            <w:noProof/>
            <w:webHidden/>
          </w:rPr>
        </w:r>
        <w:r w:rsidR="002F79AF">
          <w:rPr>
            <w:noProof/>
            <w:webHidden/>
          </w:rPr>
          <w:fldChar w:fldCharType="separate"/>
        </w:r>
        <w:r w:rsidR="002F79AF">
          <w:rPr>
            <w:noProof/>
            <w:webHidden/>
          </w:rPr>
          <w:t>2</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8" w:history="1">
        <w:r w:rsidR="002F79AF" w:rsidRPr="003B01B9">
          <w:rPr>
            <w:rStyle w:val="Hyperlink"/>
            <w:noProof/>
          </w:rPr>
          <w:t>During Getting Started, Blackboard Shows You “Read Me First”</w:t>
        </w:r>
        <w:r w:rsidR="002F79AF">
          <w:rPr>
            <w:noProof/>
            <w:webHidden/>
          </w:rPr>
          <w:tab/>
        </w:r>
        <w:r w:rsidR="002F79AF">
          <w:rPr>
            <w:noProof/>
            <w:webHidden/>
          </w:rPr>
          <w:fldChar w:fldCharType="begin"/>
        </w:r>
        <w:r w:rsidR="002F79AF">
          <w:rPr>
            <w:noProof/>
            <w:webHidden/>
          </w:rPr>
          <w:instrText xml:space="preserve"> PAGEREF _Toc16983948 \h </w:instrText>
        </w:r>
        <w:r w:rsidR="002F79AF">
          <w:rPr>
            <w:noProof/>
            <w:webHidden/>
          </w:rPr>
        </w:r>
        <w:r w:rsidR="002F79AF">
          <w:rPr>
            <w:noProof/>
            <w:webHidden/>
          </w:rPr>
          <w:fldChar w:fldCharType="separate"/>
        </w:r>
        <w:r w:rsidR="002F79AF">
          <w:rPr>
            <w:noProof/>
            <w:webHidden/>
          </w:rPr>
          <w:t>3</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9" w:history="1">
        <w:r w:rsidR="002F79AF" w:rsidRPr="003B01B9">
          <w:rPr>
            <w:rStyle w:val="Hyperlink"/>
            <w:noProof/>
          </w:rPr>
          <w:t>Key to Success with Learning Modules (All Content &amp;Graded Work)</w:t>
        </w:r>
        <w:r w:rsidR="002F79AF">
          <w:rPr>
            <w:noProof/>
            <w:webHidden/>
          </w:rPr>
          <w:tab/>
        </w:r>
        <w:r w:rsidR="002F79AF">
          <w:rPr>
            <w:noProof/>
            <w:webHidden/>
          </w:rPr>
          <w:fldChar w:fldCharType="begin"/>
        </w:r>
        <w:r w:rsidR="002F79AF">
          <w:rPr>
            <w:noProof/>
            <w:webHidden/>
          </w:rPr>
          <w:instrText xml:space="preserve"> PAGEREF _Toc16983949 \h </w:instrText>
        </w:r>
        <w:r w:rsidR="002F79AF">
          <w:rPr>
            <w:noProof/>
            <w:webHidden/>
          </w:rPr>
        </w:r>
        <w:r w:rsidR="002F79AF">
          <w:rPr>
            <w:noProof/>
            <w:webHidden/>
          </w:rPr>
          <w:fldChar w:fldCharType="separate"/>
        </w:r>
        <w:r w:rsidR="002F79AF">
          <w:rPr>
            <w:noProof/>
            <w:webHidden/>
          </w:rPr>
          <w:t>4</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0" w:history="1">
        <w:r w:rsidR="002F79AF" w:rsidRPr="003B01B9">
          <w:rPr>
            <w:rStyle w:val="Hyperlink"/>
            <w:noProof/>
          </w:rPr>
          <w:t>At Getting Started, What Do You Need on the Course Menu?</w:t>
        </w:r>
        <w:r w:rsidR="002F79AF">
          <w:rPr>
            <w:noProof/>
            <w:webHidden/>
          </w:rPr>
          <w:tab/>
        </w:r>
        <w:r w:rsidR="002F79AF">
          <w:rPr>
            <w:noProof/>
            <w:webHidden/>
          </w:rPr>
          <w:fldChar w:fldCharType="begin"/>
        </w:r>
        <w:r w:rsidR="002F79AF">
          <w:rPr>
            <w:noProof/>
            <w:webHidden/>
          </w:rPr>
          <w:instrText xml:space="preserve"> PAGEREF _Toc16983950 \h </w:instrText>
        </w:r>
        <w:r w:rsidR="002F79AF">
          <w:rPr>
            <w:noProof/>
            <w:webHidden/>
          </w:rPr>
        </w:r>
        <w:r w:rsidR="002F79AF">
          <w:rPr>
            <w:noProof/>
            <w:webHidden/>
          </w:rPr>
          <w:fldChar w:fldCharType="separate"/>
        </w:r>
        <w:r w:rsidR="002F79AF">
          <w:rPr>
            <w:noProof/>
            <w:webHidden/>
          </w:rPr>
          <w:t>5</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1" w:history="1">
        <w:r w:rsidR="002F79AF" w:rsidRPr="003B01B9">
          <w:rPr>
            <w:rStyle w:val="Hyperlink"/>
            <w:noProof/>
          </w:rPr>
          <w:t>What’s on Learning Modules? (Everything you need in one spot.)</w:t>
        </w:r>
        <w:r w:rsidR="002F79AF">
          <w:rPr>
            <w:noProof/>
            <w:webHidden/>
          </w:rPr>
          <w:tab/>
        </w:r>
        <w:r w:rsidR="002F79AF">
          <w:rPr>
            <w:noProof/>
            <w:webHidden/>
          </w:rPr>
          <w:fldChar w:fldCharType="begin"/>
        </w:r>
        <w:r w:rsidR="002F79AF">
          <w:rPr>
            <w:noProof/>
            <w:webHidden/>
          </w:rPr>
          <w:instrText xml:space="preserve"> PAGEREF _Toc16983951 \h </w:instrText>
        </w:r>
        <w:r w:rsidR="002F79AF">
          <w:rPr>
            <w:noProof/>
            <w:webHidden/>
          </w:rPr>
        </w:r>
        <w:r w:rsidR="002F79AF">
          <w:rPr>
            <w:noProof/>
            <w:webHidden/>
          </w:rPr>
          <w:fldChar w:fldCharType="separate"/>
        </w:r>
        <w:r w:rsidR="002F79AF">
          <w:rPr>
            <w:noProof/>
            <w:webHidden/>
          </w:rPr>
          <w:t>8</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2" w:history="1">
        <w:r w:rsidR="002F79AF" w:rsidRPr="003B01B9">
          <w:rPr>
            <w:rStyle w:val="Hyperlink"/>
            <w:noProof/>
          </w:rPr>
          <w:t>What’s in a Unit? (All Units have the same things in the same order.)</w:t>
        </w:r>
        <w:r w:rsidR="002F79AF">
          <w:rPr>
            <w:noProof/>
            <w:webHidden/>
          </w:rPr>
          <w:tab/>
        </w:r>
        <w:r w:rsidR="002F79AF">
          <w:rPr>
            <w:noProof/>
            <w:webHidden/>
          </w:rPr>
          <w:fldChar w:fldCharType="begin"/>
        </w:r>
        <w:r w:rsidR="002F79AF">
          <w:rPr>
            <w:noProof/>
            <w:webHidden/>
          </w:rPr>
          <w:instrText xml:space="preserve"> PAGEREF _Toc16983952 \h </w:instrText>
        </w:r>
        <w:r w:rsidR="002F79AF">
          <w:rPr>
            <w:noProof/>
            <w:webHidden/>
          </w:rPr>
        </w:r>
        <w:r w:rsidR="002F79AF">
          <w:rPr>
            <w:noProof/>
            <w:webHidden/>
          </w:rPr>
          <w:fldChar w:fldCharType="separate"/>
        </w:r>
        <w:r w:rsidR="002F79AF">
          <w:rPr>
            <w:noProof/>
            <w:webHidden/>
          </w:rPr>
          <w:t>9</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3" w:history="1">
        <w:r w:rsidR="002F79AF" w:rsidRPr="003B01B9">
          <w:rPr>
            <w:rStyle w:val="Hyperlink"/>
            <w:noProof/>
          </w:rPr>
          <w:t>How Do You Know What to Do Where and When?</w:t>
        </w:r>
        <w:r w:rsidR="002F79AF">
          <w:rPr>
            <w:noProof/>
            <w:webHidden/>
          </w:rPr>
          <w:tab/>
        </w:r>
        <w:r w:rsidR="002F79AF">
          <w:rPr>
            <w:noProof/>
            <w:webHidden/>
          </w:rPr>
          <w:fldChar w:fldCharType="begin"/>
        </w:r>
        <w:r w:rsidR="002F79AF">
          <w:rPr>
            <w:noProof/>
            <w:webHidden/>
          </w:rPr>
          <w:instrText xml:space="preserve"> PAGEREF _Toc16983953 \h </w:instrText>
        </w:r>
        <w:r w:rsidR="002F79AF">
          <w:rPr>
            <w:noProof/>
            <w:webHidden/>
          </w:rPr>
        </w:r>
        <w:r w:rsidR="002F79AF">
          <w:rPr>
            <w:noProof/>
            <w:webHidden/>
          </w:rPr>
          <w:fldChar w:fldCharType="separate"/>
        </w:r>
        <w:r w:rsidR="002F79AF">
          <w:rPr>
            <w:noProof/>
            <w:webHidden/>
          </w:rPr>
          <w:t>11</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4" w:history="1">
        <w:r w:rsidR="002F79AF" w:rsidRPr="003B01B9">
          <w:rPr>
            <w:rStyle w:val="Hyperlink"/>
            <w:noProof/>
          </w:rPr>
          <w:t>What’s All This Stuff about Self-Tests and Full-Tests: How Do They Look?</w:t>
        </w:r>
        <w:r w:rsidR="002F79AF">
          <w:rPr>
            <w:noProof/>
            <w:webHidden/>
          </w:rPr>
          <w:tab/>
        </w:r>
        <w:r w:rsidR="002F79AF">
          <w:rPr>
            <w:noProof/>
            <w:webHidden/>
          </w:rPr>
          <w:fldChar w:fldCharType="begin"/>
        </w:r>
        <w:r w:rsidR="002F79AF">
          <w:rPr>
            <w:noProof/>
            <w:webHidden/>
          </w:rPr>
          <w:instrText xml:space="preserve"> PAGEREF _Toc16983954 \h </w:instrText>
        </w:r>
        <w:r w:rsidR="002F79AF">
          <w:rPr>
            <w:noProof/>
            <w:webHidden/>
          </w:rPr>
        </w:r>
        <w:r w:rsidR="002F79AF">
          <w:rPr>
            <w:noProof/>
            <w:webHidden/>
          </w:rPr>
          <w:fldChar w:fldCharType="separate"/>
        </w:r>
        <w:r w:rsidR="002F79AF">
          <w:rPr>
            <w:noProof/>
            <w:webHidden/>
          </w:rPr>
          <w:t>13</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5" w:history="1">
        <w:r w:rsidR="002F79AF">
          <w:rPr>
            <w:noProof/>
            <w:webHidden/>
          </w:rPr>
          <w:tab/>
        </w:r>
        <w:r w:rsidR="002F79AF">
          <w:rPr>
            <w:noProof/>
            <w:webHidden/>
          </w:rPr>
          <w:fldChar w:fldCharType="begin"/>
        </w:r>
        <w:r w:rsidR="002F79AF">
          <w:rPr>
            <w:noProof/>
            <w:webHidden/>
          </w:rPr>
          <w:instrText xml:space="preserve"> PAGEREF _Toc16983955 \h </w:instrText>
        </w:r>
        <w:r w:rsidR="002F79AF">
          <w:rPr>
            <w:noProof/>
            <w:webHidden/>
          </w:rPr>
        </w:r>
        <w:r w:rsidR="002F79AF">
          <w:rPr>
            <w:noProof/>
            <w:webHidden/>
          </w:rPr>
          <w:fldChar w:fldCharType="separate"/>
        </w:r>
        <w:r w:rsidR="002F79AF">
          <w:rPr>
            <w:noProof/>
            <w:webHidden/>
          </w:rPr>
          <w:t>14</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6" w:history="1">
        <w:r w:rsidR="002F79AF" w:rsidRPr="003B01B9">
          <w:rPr>
            <w:rStyle w:val="Hyperlink"/>
            <w:noProof/>
          </w:rPr>
          <w:t>What’s All This Stuff about Self-Tests and Full-Tests: How Do They Work to Help You?</w:t>
        </w:r>
        <w:r w:rsidR="002F79AF">
          <w:rPr>
            <w:noProof/>
            <w:webHidden/>
          </w:rPr>
          <w:tab/>
        </w:r>
        <w:r w:rsidR="002F79AF">
          <w:rPr>
            <w:noProof/>
            <w:webHidden/>
          </w:rPr>
          <w:fldChar w:fldCharType="begin"/>
        </w:r>
        <w:r w:rsidR="002F79AF">
          <w:rPr>
            <w:noProof/>
            <w:webHidden/>
          </w:rPr>
          <w:instrText xml:space="preserve"> PAGEREF _Toc16983956 \h </w:instrText>
        </w:r>
        <w:r w:rsidR="002F79AF">
          <w:rPr>
            <w:noProof/>
            <w:webHidden/>
          </w:rPr>
        </w:r>
        <w:r w:rsidR="002F79AF">
          <w:rPr>
            <w:noProof/>
            <w:webHidden/>
          </w:rPr>
          <w:fldChar w:fldCharType="separate"/>
        </w:r>
        <w:r w:rsidR="002F79AF">
          <w:rPr>
            <w:noProof/>
            <w:webHidden/>
          </w:rPr>
          <w:t>15</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7" w:history="1">
        <w:r w:rsidR="002F79AF" w:rsidRPr="003B01B9">
          <w:rPr>
            <w:rStyle w:val="Hyperlink"/>
            <w:noProof/>
          </w:rPr>
          <w:t>Tasks You Do During Getting Started</w:t>
        </w:r>
        <w:r w:rsidR="002F79AF">
          <w:rPr>
            <w:noProof/>
            <w:webHidden/>
          </w:rPr>
          <w:tab/>
        </w:r>
        <w:r w:rsidR="002F79AF">
          <w:rPr>
            <w:noProof/>
            <w:webHidden/>
          </w:rPr>
          <w:fldChar w:fldCharType="begin"/>
        </w:r>
        <w:r w:rsidR="002F79AF">
          <w:rPr>
            <w:noProof/>
            <w:webHidden/>
          </w:rPr>
          <w:instrText xml:space="preserve"> PAGEREF _Toc16983957 \h </w:instrText>
        </w:r>
        <w:r w:rsidR="002F79AF">
          <w:rPr>
            <w:noProof/>
            <w:webHidden/>
          </w:rPr>
        </w:r>
        <w:r w:rsidR="002F79AF">
          <w:rPr>
            <w:noProof/>
            <w:webHidden/>
          </w:rPr>
          <w:fldChar w:fldCharType="separate"/>
        </w:r>
        <w:r w:rsidR="002F79AF">
          <w:rPr>
            <w:noProof/>
            <w:webHidden/>
          </w:rPr>
          <w:t>17</w:t>
        </w:r>
        <w:r w:rsidR="002F79AF">
          <w:rPr>
            <w:noProof/>
            <w:webHidden/>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16983946"/>
            <w:r>
              <w:lastRenderedPageBreak/>
              <w:t>How to Login and Succeed with</w:t>
            </w:r>
            <w:r w:rsidR="003C3626">
              <w:t xml:space="preserve"> this Course</w:t>
            </w:r>
            <w:bookmarkEnd w:id="0"/>
            <w:r w:rsidR="003C3626">
              <w:t xml:space="preserv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16983947"/>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C8309A" w:rsidRPr="00556978" w:rsidRDefault="004023BE" w:rsidP="00C8309A">
            <w:pPr>
              <w:rPr>
                <w:bCs/>
              </w:rPr>
            </w:pPr>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proofErr w:type="gramStart"/>
            <w:r w:rsidR="00556978" w:rsidRPr="00556978">
              <w:rPr>
                <w:bCs/>
              </w:rPr>
              <w:t>so</w:t>
            </w:r>
            <w:proofErr w:type="gramEnd"/>
            <w:r w:rsidR="00556978" w:rsidRPr="00556978">
              <w:rPr>
                <w:bCs/>
              </w:rPr>
              <w:t xml:space="preserve"> </w:t>
            </w:r>
            <w:r w:rsidR="00556978">
              <w:rPr>
                <w:bCs/>
              </w:rPr>
              <w:t xml:space="preserve">having it visible as you work can make your life </w:t>
            </w:r>
            <w:r w:rsidR="00556978" w:rsidRPr="00556978">
              <w:rPr>
                <w:bCs/>
              </w:rPr>
              <w:t>easier.</w:t>
            </w:r>
            <w:r>
              <w:rPr>
                <w:bCs/>
              </w:rPr>
              <w:t xml:space="preserve"> </w:t>
            </w:r>
            <w:r w:rsidR="005A7D78">
              <w:rPr>
                <w:bCs/>
              </w:rPr>
              <w:t>You can always return to it if you</w:t>
            </w:r>
          </w:p>
          <w:p w:rsidR="002F13B3" w:rsidRDefault="00C8309A" w:rsidP="0072488F">
            <w:r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226EDA" w:rsidRDefault="00253E9C" w:rsidP="004C1FB8">
            <w:pPr>
              <w:pStyle w:val="ListParagraph"/>
              <w:numPr>
                <w:ilvl w:val="0"/>
                <w:numId w:val="14"/>
              </w:numPr>
            </w:pPr>
            <w:r w:rsidRPr="00253E9C">
              <w:rPr>
                <w:rStyle w:val="Strong"/>
              </w:rPr>
              <w:t>Before</w:t>
            </w:r>
            <w:r>
              <w:t xml:space="preserve"> you do the next step, click on that l</w:t>
            </w:r>
            <w:r w:rsidR="004C0004">
              <w:t>ink so</w:t>
            </w:r>
            <w:r w:rsidR="0072488F">
              <w:t xml:space="preserve"> you </w:t>
            </w:r>
            <w:r w:rsidR="004C0004">
              <w:t>can</w:t>
            </w:r>
            <w:r w:rsidR="0072488F">
              <w:t xml:space="preserve"> </w:t>
            </w:r>
            <w:r>
              <w:t>see</w:t>
            </w:r>
            <w:r w:rsidR="0072488F">
              <w:t xml:space="preserve"> the file </w:t>
            </w:r>
            <w:r>
              <w:t>in a New Tab or New Window so you can see “Read Me” when you need to.</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A74E3D" w:rsidRPr="00A74E3D">
              <w:rPr>
                <w:shd w:val="clear" w:color="auto" w:fill="FFC000"/>
              </w:rPr>
              <w:t>do picture over with key to an da different course</w:t>
            </w:r>
            <w:r w:rsidR="0082553F">
              <w:br/>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F37526">
              <w:t>together.</w:t>
            </w:r>
          </w:p>
          <w:p w:rsidR="00B06EC3" w:rsidRPr="00B06EC3" w:rsidRDefault="00F37526" w:rsidP="00F37526">
            <w:pPr>
              <w:pStyle w:val="ListParagraph"/>
              <w:numPr>
                <w:ilvl w:val="0"/>
                <w:numId w:val="14"/>
              </w:numPr>
            </w:pPr>
            <w:r>
              <w:t>The end of the Course Orientation link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272"/>
        <w:gridCol w:w="288"/>
        <w:gridCol w:w="7187"/>
        <w:gridCol w:w="85"/>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2" w:name="_Toc16983949"/>
            <w:r>
              <w:t>Key to Success with Learning Modules (All Content &amp;Graded Work)</w:t>
            </w:r>
            <w:bookmarkEnd w:id="2"/>
            <w:r>
              <w:t xml:space="preserve"> </w:t>
            </w:r>
          </w:p>
          <w:p w:rsidR="000F033D"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You do </w:t>
            </w:r>
            <w:r w:rsidRPr="00684481">
              <w:rPr>
                <w:rStyle w:val="Strong"/>
              </w:rPr>
              <w:t>not</w:t>
            </w:r>
            <w:r>
              <w:t xml:space="preserve"> have to hunt around—you just have to go in through the </w:t>
            </w:r>
            <w:r w:rsidRPr="00684481">
              <w:rPr>
                <w:rStyle w:val="Strong"/>
              </w:rPr>
              <w:t>right door</w:t>
            </w:r>
            <w:r>
              <w:t>.</w:t>
            </w:r>
          </w:p>
          <w:p w:rsidR="00E63C1E" w:rsidRDefault="00E63C1E" w:rsidP="005A4B6D"/>
          <w:p w:rsidR="00E63C1E" w:rsidRPr="00602F1E" w:rsidRDefault="00E63C1E" w:rsidP="005A4B6D">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5A4B6D" w:rsidP="00D61ACB"/>
          <w:p w:rsidR="005A4B6D" w:rsidRDefault="005A4B6D" w:rsidP="00D61ACB"/>
        </w:tc>
      </w:tr>
      <w:tr w:rsidR="000F033D" w:rsidTr="00D61ACB">
        <w:trPr>
          <w:gridAfter w:val="1"/>
          <w:wAfter w:w="85" w:type="dxa"/>
          <w:trHeight w:hRule="exact" w:val="216"/>
        </w:trPr>
        <w:tc>
          <w:tcPr>
            <w:tcW w:w="7272" w:type="dxa"/>
            <w:tcBorders>
              <w:top w:val="nil"/>
            </w:tcBorders>
          </w:tcPr>
          <w:p w:rsidR="000F033D" w:rsidRPr="00F814F7" w:rsidRDefault="000F033D" w:rsidP="00D61ACB">
            <w:r w:rsidRPr="00F814F7">
              <w:t>2</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0F033D" w:rsidP="00D61ACB">
            <w:pPr>
              <w:jc w:val="right"/>
            </w:pPr>
            <w:r w:rsidRPr="00F814F7">
              <w:t>3</w:t>
            </w:r>
          </w:p>
        </w:tc>
      </w:tr>
    </w:tbl>
    <w:p w:rsidR="000F033D" w:rsidRDefault="000F033D">
      <w:pPr>
        <w:spacing w:after="0" w:line="240" w:lineRule="auto"/>
      </w:pPr>
      <w:r>
        <w:br w:type="page"/>
      </w:r>
    </w:p>
    <w:p w:rsidR="00226EDA" w:rsidRDefault="00226EDA">
      <w:pPr>
        <w:spacing w:after="0" w:line="240" w:lineRule="auto"/>
      </w:pPr>
    </w:p>
    <w:p w:rsidR="00F95423" w:rsidRDefault="00127E41" w:rsidP="002F13B3">
      <w:pPr>
        <w:spacing w:after="0" w:line="240" w:lineRule="auto"/>
      </w:pPr>
      <w:r w:rsidRPr="00127E41">
        <w:rPr>
          <w:rFonts w:asciiTheme="majorHAnsi" w:hAnsiTheme="majorHAnsi" w:cs="Arial"/>
          <w:color w:val="333333"/>
          <w:shd w:val="clear" w:color="auto" w:fill="F8F8F8"/>
        </w:rPr>
        <w:t> </w:t>
      </w:r>
    </w:p>
    <w:p w:rsidR="008B3E53" w:rsidRDefault="006F2D21">
      <w:pPr>
        <w:pStyle w:val="Heading2"/>
      </w:pPr>
      <w:bookmarkStart w:id="3" w:name="_Toc16983950"/>
      <w:r>
        <w:t>At Getting Started, What Do You Need on the</w:t>
      </w:r>
      <w:r w:rsidR="00B33ED7">
        <w:t xml:space="preserve"> Course Menu</w:t>
      </w:r>
      <w:r>
        <w:t>?</w:t>
      </w:r>
      <w:bookmarkEnd w:id="3"/>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D61ACB">
        <w:trPr>
          <w:trHeight w:val="432"/>
        </w:trPr>
        <w:tc>
          <w:tcPr>
            <w:tcW w:w="8280" w:type="dxa"/>
          </w:tcPr>
          <w:p w:rsidR="00F95423" w:rsidRDefault="00F95423" w:rsidP="00D61ACB">
            <w:pPr>
              <w:spacing w:after="120" w:line="300" w:lineRule="auto"/>
            </w:pPr>
          </w:p>
        </w:tc>
        <w:tc>
          <w:tcPr>
            <w:tcW w:w="3067" w:type="dxa"/>
            <w:vMerge w:val="restart"/>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rPr>
                <w:b/>
              </w:rPr>
            </w:pPr>
          </w:p>
        </w:tc>
        <w:tc>
          <w:tcPr>
            <w:tcW w:w="3067" w:type="dxa"/>
            <w:vMerge/>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pPr>
          </w:p>
        </w:tc>
        <w:tc>
          <w:tcPr>
            <w:tcW w:w="3067" w:type="dxa"/>
            <w:vMerge/>
          </w:tcPr>
          <w:p w:rsidR="00F95423" w:rsidRDefault="00F95423" w:rsidP="00D61ACB">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16983951"/>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16983952"/>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16983953"/>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16983954"/>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bookmarkStart w:id="13" w:name="_Toc1698395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bookmarkEnd w:id="13"/>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4223CF">
            <w:bookmarkStart w:id="14" w:name="_Toc16983956"/>
          </w:p>
        </w:tc>
        <w:tc>
          <w:tcPr>
            <w:tcW w:w="288" w:type="dxa"/>
            <w:tcBorders>
              <w:top w:val="nil"/>
              <w:bottom w:val="nil"/>
            </w:tcBorders>
          </w:tcPr>
          <w:p w:rsidR="0059390C" w:rsidRPr="008A2D84" w:rsidRDefault="0059390C" w:rsidP="004223CF"/>
        </w:tc>
      </w:tr>
      <w:tr w:rsidR="0059390C" w:rsidTr="0059390C">
        <w:trPr>
          <w:trHeight w:hRule="exact" w:val="216"/>
        </w:trPr>
        <w:tc>
          <w:tcPr>
            <w:tcW w:w="7268" w:type="dxa"/>
            <w:tcBorders>
              <w:top w:val="nil"/>
            </w:tcBorders>
          </w:tcPr>
          <w:p w:rsidR="0059390C" w:rsidRPr="00F814F7" w:rsidRDefault="0059390C" w:rsidP="004223CF">
            <w:r w:rsidRPr="00F814F7">
              <w:t>2</w:t>
            </w:r>
          </w:p>
        </w:tc>
        <w:tc>
          <w:tcPr>
            <w:tcW w:w="288" w:type="dxa"/>
            <w:tcBorders>
              <w:top w:val="nil"/>
              <w:bottom w:val="nil"/>
            </w:tcBorders>
          </w:tcPr>
          <w:p w:rsidR="0059390C" w:rsidRPr="00F814F7" w:rsidRDefault="0059390C" w:rsidP="004223CF">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bookmarkEnd w:id="14"/>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075D61" w:rsidTr="00075D61">
        <w:tc>
          <w:tcPr>
            <w:tcW w:w="7272" w:type="dxa"/>
            <w:tcBorders>
              <w:top w:val="single" w:sz="4" w:space="0" w:color="auto"/>
              <w:left w:val="nil"/>
              <w:bottom w:val="single" w:sz="4" w:space="0" w:color="auto"/>
              <w:right w:val="single" w:sz="4" w:space="0" w:color="auto"/>
            </w:tcBorders>
          </w:tcPr>
          <w:p w:rsidR="00A3357A" w:rsidRDefault="00A3357A" w:rsidP="00A3357A">
            <w:pPr>
              <w:pStyle w:val="Heading2"/>
              <w:outlineLvl w:val="1"/>
            </w:pPr>
            <w:r>
              <w:t>How Do Self-Tests and Full-Tests Work to Help You?</w:t>
            </w:r>
          </w:p>
          <w:p w:rsidR="00A3357A" w:rsidRDefault="00A3357A"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A3357A" w:rsidRDefault="00A3357A" w:rsidP="00A3357A">
            <w:pPr>
              <w:pStyle w:val="ListParagraph"/>
              <w:numPr>
                <w:ilvl w:val="0"/>
                <w:numId w:val="17"/>
              </w:numPr>
              <w:spacing w:line="276" w:lineRule="auto"/>
            </w:pPr>
            <w:r>
              <w:t>Content such as vocabulary words, concepts, and map locations—things best learned by d</w:t>
            </w:r>
            <w:bookmarkStart w:id="15" w:name="_GoBack"/>
            <w:bookmarkEnd w:id="15"/>
            <w:r>
              <w:t>rill (repeated, corrected practice)</w:t>
            </w:r>
          </w:p>
          <w:p w:rsidR="00A3357A" w:rsidRDefault="00A3357A"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075D61" w:rsidRDefault="00075D61" w:rsidP="0059390C">
            <w:pPr>
              <w:pStyle w:val="Heading2"/>
              <w:outlineLvl w:val="1"/>
            </w:pPr>
          </w:p>
        </w:tc>
        <w:tc>
          <w:tcPr>
            <w:tcW w:w="236" w:type="dxa"/>
            <w:tcBorders>
              <w:top w:val="nil"/>
              <w:left w:val="nil"/>
              <w:bottom w:val="nil"/>
              <w:right w:val="single" w:sz="4" w:space="0" w:color="auto"/>
            </w:tcBorders>
          </w:tcPr>
          <w:p w:rsidR="00075D61" w:rsidRDefault="00075D61"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075D61" w:rsidRDefault="00075D61" w:rsidP="0059390C">
            <w:pPr>
              <w:pStyle w:val="Heading2"/>
            </w:pPr>
            <w:r>
              <w:t>A Visual to Help You: How a Self-Test and its Full-Test Works</w:t>
            </w:r>
          </w:p>
          <w:p w:rsidR="00075D61" w:rsidRDefault="00075D61" w:rsidP="0059390C">
            <w:pPr>
              <w:spacing w:after="200" w:line="276" w:lineRule="auto"/>
              <w:contextualSpacing/>
            </w:pPr>
            <w:r>
              <w:t>When you take a Self-Test, what happens is different dependent on:</w:t>
            </w:r>
          </w:p>
          <w:p w:rsidR="00075D61" w:rsidRDefault="00075D61" w:rsidP="0059390C">
            <w:pPr>
              <w:pStyle w:val="ListParagraph"/>
              <w:numPr>
                <w:ilvl w:val="0"/>
                <w:numId w:val="19"/>
              </w:numPr>
              <w:spacing w:after="200" w:line="276" w:lineRule="auto"/>
            </w:pPr>
            <w:r>
              <w:t>Whether you are right on 80% or more of the questions – shown on the left side</w:t>
            </w:r>
          </w:p>
          <w:p w:rsidR="00075D61" w:rsidRDefault="00075D61" w:rsidP="0059390C">
            <w:pPr>
              <w:pStyle w:val="ListParagraph"/>
              <w:numPr>
                <w:ilvl w:val="0"/>
                <w:numId w:val="19"/>
              </w:numPr>
              <w:spacing w:after="200" w:line="276" w:lineRule="auto"/>
            </w:pPr>
            <w:r>
              <w:t>Whether you are right on 79% or fewer of the questions – shown on the right side</w:t>
            </w:r>
          </w:p>
          <w:p w:rsidR="00075D61" w:rsidRDefault="00075D61" w:rsidP="0059390C">
            <w:pPr>
              <w:spacing w:after="200" w:line="276" w:lineRule="auto"/>
              <w:contextualSpacing/>
            </w:pPr>
            <w:r>
              <w:t>Read each row side by side so you can compare what happens.</w:t>
            </w:r>
          </w:p>
        </w:tc>
      </w:tr>
      <w:tr w:rsidR="00075D61" w:rsidTr="00075D61">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075D61" w:rsidRDefault="00075D61" w:rsidP="00075D61">
            <w:pPr>
              <w:spacing w:after="0" w:line="240" w:lineRule="auto"/>
              <w:contextualSpacing/>
            </w:pPr>
            <w:r>
              <w:t xml:space="preserve">                                    You take a Self-Test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rsidP="0058708C">
            <w:pPr>
              <w:spacing w:after="0" w:line="240" w:lineRule="auto"/>
              <w:contextualSpacing/>
            </w:pPr>
            <w:r w:rsidRPr="0058708C">
              <w:rPr>
                <w:b/>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075D61" w:rsidRDefault="00075D61">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b/>
                <w:color w:val="00B0F0"/>
              </w:rPr>
            </w:pPr>
            <w:r w:rsidRPr="0058708C">
              <w:rPr>
                <w:b/>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075D61" w:rsidRDefault="00075D61"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D20655" w:rsidRDefault="00075D61">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075D61" w:rsidRPr="00D20655" w:rsidRDefault="00075D61">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075D61" w:rsidRDefault="00075D61" w:rsidP="00D20655">
            <w:pPr>
              <w:spacing w:after="0" w:line="240" w:lineRule="auto"/>
              <w:contextualSpacing/>
              <w:jc w:val="center"/>
            </w:pPr>
            <w:r>
              <w:t>You take its Full-Test until you make the highest points.</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Your highest score counts.</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rPr>
          <w:rFonts w:asciiTheme="majorHAnsi" w:eastAsiaTheme="majorEastAsia" w:hAnsiTheme="majorHAnsi" w:cstheme="majorBidi"/>
          <w:color w:val="2E74B5" w:themeColor="accent1" w:themeShade="BF"/>
          <w:sz w:val="26"/>
          <w:szCs w:val="26"/>
        </w:rPr>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p w:rsidR="008B3E53" w:rsidRDefault="00B33ED7">
      <w:pPr>
        <w:pStyle w:val="Heading2"/>
      </w:pPr>
      <w:bookmarkStart w:id="16" w:name="_Toc16983957"/>
      <w:r>
        <w:t>Tasks You Do During Getting Started</w:t>
      </w:r>
      <w:bookmarkEnd w:id="16"/>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w:t>
            </w:r>
            <w:r>
              <w:t xml:space="preserve">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9F1C5B">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2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1">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2">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0"/>
  </w:num>
  <w:num w:numId="6">
    <w:abstractNumId w:val="1"/>
  </w:num>
  <w:num w:numId="7">
    <w:abstractNumId w:val="1"/>
  </w:num>
  <w:num w:numId="8">
    <w:abstractNumId w:val="7"/>
  </w:num>
  <w:num w:numId="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10"/>
  </w:num>
  <w:num w:numId="14">
    <w:abstractNumId w:val="14"/>
  </w:num>
  <w:num w:numId="15">
    <w:abstractNumId w:val="6"/>
  </w:num>
  <w:num w:numId="16">
    <w:abstractNumId w:val="5"/>
  </w:num>
  <w:num w:numId="17">
    <w:abstractNumId w:val="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75D61"/>
    <w:rsid w:val="000A18BC"/>
    <w:rsid w:val="000C6204"/>
    <w:rsid w:val="000E22F1"/>
    <w:rsid w:val="000F033D"/>
    <w:rsid w:val="001152AC"/>
    <w:rsid w:val="00127E41"/>
    <w:rsid w:val="0014120B"/>
    <w:rsid w:val="001466A4"/>
    <w:rsid w:val="00180416"/>
    <w:rsid w:val="00226EDA"/>
    <w:rsid w:val="00253E9C"/>
    <w:rsid w:val="00277F37"/>
    <w:rsid w:val="002C7916"/>
    <w:rsid w:val="002E06F0"/>
    <w:rsid w:val="002E7AF1"/>
    <w:rsid w:val="002E7FFB"/>
    <w:rsid w:val="002F13B3"/>
    <w:rsid w:val="002F79AF"/>
    <w:rsid w:val="003011DC"/>
    <w:rsid w:val="00305647"/>
    <w:rsid w:val="00311832"/>
    <w:rsid w:val="00343F5F"/>
    <w:rsid w:val="003761CA"/>
    <w:rsid w:val="00376622"/>
    <w:rsid w:val="003C3626"/>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D78"/>
    <w:rsid w:val="005B413B"/>
    <w:rsid w:val="005E07B3"/>
    <w:rsid w:val="005E1FFC"/>
    <w:rsid w:val="00602F1E"/>
    <w:rsid w:val="006545BF"/>
    <w:rsid w:val="00655323"/>
    <w:rsid w:val="00661F34"/>
    <w:rsid w:val="006B6232"/>
    <w:rsid w:val="006C6DAB"/>
    <w:rsid w:val="006F2D21"/>
    <w:rsid w:val="0071426D"/>
    <w:rsid w:val="00715E0F"/>
    <w:rsid w:val="0072488F"/>
    <w:rsid w:val="00772262"/>
    <w:rsid w:val="007919F4"/>
    <w:rsid w:val="007A4517"/>
    <w:rsid w:val="007C1239"/>
    <w:rsid w:val="00824851"/>
    <w:rsid w:val="0082553F"/>
    <w:rsid w:val="008A2D84"/>
    <w:rsid w:val="008B3E53"/>
    <w:rsid w:val="00914CEB"/>
    <w:rsid w:val="009278C5"/>
    <w:rsid w:val="0094110D"/>
    <w:rsid w:val="009530D9"/>
    <w:rsid w:val="009C7B25"/>
    <w:rsid w:val="009F0AD2"/>
    <w:rsid w:val="009F5CF9"/>
    <w:rsid w:val="00A26E4C"/>
    <w:rsid w:val="00A3357A"/>
    <w:rsid w:val="00A35CE9"/>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61640"/>
    <w:rsid w:val="00E63C1E"/>
    <w:rsid w:val="00E74F2C"/>
    <w:rsid w:val="00ED147A"/>
    <w:rsid w:val="00ED4E45"/>
    <w:rsid w:val="00EE4ABE"/>
    <w:rsid w:val="00F37526"/>
    <w:rsid w:val="00F54616"/>
    <w:rsid w:val="00F80C99"/>
    <w:rsid w:val="00F814F7"/>
    <w:rsid w:val="00F93C17"/>
    <w:rsid w:val="00F95423"/>
    <w:rsid w:val="00FA31FF"/>
    <w:rsid w:val="00FC0C8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cjc.blackboard.com/" TargetMode="Externa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3BBE-F666-482F-8DB9-764BBB79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14</TotalTime>
  <Pages>25</Pages>
  <Words>3283</Words>
  <Characters>18716</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2019-08-18T23:19:00Z</dcterms:created>
  <dcterms:modified xsi:type="dcterms:W3CDTF">2019-08-18T23:32:00Z</dcterms:modified>
</cp:coreProperties>
</file>