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74875">
      <w:pPr>
        <w:pStyle w:val="Heading1"/>
      </w:pPr>
      <w:r>
        <w:t>Course Orientation – Key Pages</w:t>
      </w:r>
      <w:r w:rsidR="00B33ED7">
        <w:t xml:space="preserve"> &amp; the List of Tasks You Do for Points in Getting Started</w:t>
      </w:r>
    </w:p>
    <w:p w:rsidR="00D540BB" w:rsidRPr="00D540BB" w:rsidRDefault="00D540BB" w:rsidP="00D540BB">
      <w:r w:rsidRPr="00D540BB">
        <w:rPr>
          <w:b/>
          <w:highlight w:val="cyan"/>
        </w:rPr>
        <w:t>Tip</w:t>
      </w:r>
      <w:r>
        <w:t>: It helps if you realize that you need to measure your assumptions about distance learning/distance education classes. If you do not know why, do look at the test and what’s between the Self-Test and the Full-Test.</w:t>
      </w:r>
    </w:p>
    <w:p w:rsidR="002F7ED1" w:rsidRDefault="002F7ED1"/>
    <w:tbl>
      <w:tblPr>
        <w:tblStyle w:val="PlainTable1"/>
        <w:tblW w:w="0" w:type="auto"/>
        <w:tblInd w:w="1440" w:type="dxa"/>
        <w:tblLook w:val="0420" w:firstRow="1" w:lastRow="0" w:firstColumn="0" w:lastColumn="0" w:noHBand="0" w:noVBand="1"/>
      </w:tblPr>
      <w:tblGrid>
        <w:gridCol w:w="7195"/>
        <w:gridCol w:w="2340"/>
      </w:tblGrid>
      <w:tr w:rsidR="009E2D6A" w:rsidRPr="000E69F9" w:rsidTr="002F7ED1">
        <w:trPr>
          <w:cnfStyle w:val="100000000000" w:firstRow="1" w:lastRow="0" w:firstColumn="0" w:lastColumn="0" w:oddVBand="0" w:evenVBand="0" w:oddHBand="0" w:evenHBand="0" w:firstRowFirstColumn="0" w:firstRowLastColumn="0" w:lastRowFirstColumn="0" w:lastRowLastColumn="0"/>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r w:rsidR="00B74875">
              <w:t xml:space="preserve"> – same as the attachment sent before the class</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8046"/>
        <w:gridCol w:w="225"/>
        <w:gridCol w:w="6517"/>
        <w:gridCol w:w="44"/>
      </w:tblGrid>
      <w:tr w:rsidR="004774BD" w:rsidTr="003473AD">
        <w:trPr>
          <w:trHeight w:hRule="exact" w:val="10296"/>
        </w:trPr>
        <w:tc>
          <w:tcPr>
            <w:tcW w:w="7267" w:type="dxa"/>
            <w:tcBorders>
              <w:bottom w:val="nil"/>
            </w:tcBorders>
            <w:shd w:val="clear" w:color="auto" w:fill="auto"/>
          </w:tcPr>
          <w:p w:rsidR="003C3626" w:rsidRDefault="00ED5C03" w:rsidP="00602F1E">
            <w:pPr>
              <w:pStyle w:val="Heading2"/>
              <w:outlineLvl w:val="1"/>
            </w:pPr>
            <w:bookmarkStart w:id="0" w:name="_How_to_Login"/>
            <w:bookmarkEnd w:id="0"/>
            <w:r>
              <w:lastRenderedPageBreak/>
              <w:t xml:space="preserve">When the Course </w:t>
            </w:r>
            <w:r w:rsidR="00267177">
              <w:t>1</w:t>
            </w:r>
            <w:r w:rsidR="00267177" w:rsidRPr="00267177">
              <w:rPr>
                <w:vertAlign w:val="superscript"/>
              </w:rPr>
              <w:t>st</w:t>
            </w:r>
            <w:r w:rsidR="00267177">
              <w:t xml:space="preserve"> </w:t>
            </w:r>
            <w:r>
              <w:t xml:space="preserve">Opens, </w:t>
            </w:r>
            <w:r w:rsidR="00305647">
              <w:t xml:space="preserve">How to Login </w:t>
            </w:r>
            <w:r w:rsidR="005F4251">
              <w:t>So You</w:t>
            </w:r>
            <w:r w:rsidR="00031FD2">
              <w:t xml:space="preserve"> </w:t>
            </w:r>
            <w:r w:rsidR="00305647">
              <w:t>S</w:t>
            </w:r>
            <w:r w:rsidR="005F4251">
              <w:t>ee What You Need</w:t>
            </w:r>
          </w:p>
          <w:p w:rsidR="00ED5C03" w:rsidRDefault="00ED5C03" w:rsidP="00230454">
            <w:r>
              <w:t xml:space="preserve">Use the information from your Before Class email </w:t>
            </w:r>
            <w:r w:rsidRPr="0088120F">
              <w:rPr>
                <w:b/>
              </w:rPr>
              <w:t xml:space="preserve">before </w:t>
            </w:r>
            <w:r>
              <w:t>you start here.</w:t>
            </w:r>
            <w:r w:rsidR="00777100">
              <w:t xml:space="preserve"> If you are use</w:t>
            </w:r>
            <w:r w:rsidR="005F4251">
              <w:t>d to coming in as shown at the bottom of this page,</w:t>
            </w:r>
            <w:r w:rsidR="00777100">
              <w:t xml:space="preserve"> </w:t>
            </w:r>
            <w:r w:rsidR="00777100" w:rsidRPr="0088120F">
              <w:rPr>
                <w:b/>
              </w:rPr>
              <w:t>please do not</w:t>
            </w:r>
            <w:r w:rsidR="00A7511F">
              <w:t xml:space="preserve"> </w:t>
            </w:r>
          </w:p>
          <w:p w:rsidR="0088120F" w:rsidRDefault="0088120F" w:rsidP="0088120F">
            <w:r w:rsidRPr="0088120F">
              <w:rPr>
                <w:b/>
              </w:rPr>
              <w:t>Instead,</w:t>
            </w:r>
            <w:r>
              <w:t xml:space="preserve"> follow these steps:</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sidRPr="00EA151A">
              <w:rPr>
                <w:b/>
                <w:color w:val="860000"/>
              </w:rPr>
              <w:t>Login Here</w:t>
            </w:r>
            <w:r>
              <w:rPr>
                <w:color w:val="C00000"/>
              </w:rPr>
              <w:t xml:space="preserve"> </w:t>
            </w:r>
            <w:r>
              <w:t xml:space="preserve">section on the left. </w:t>
            </w:r>
            <w:r w:rsidR="00ED5C03">
              <w:t>Notice the instructions:</w:t>
            </w:r>
          </w:p>
          <w:p w:rsidR="00ED5C03" w:rsidRDefault="0088120F" w:rsidP="0088120F">
            <w:pPr>
              <w:pStyle w:val="ListParagraph"/>
              <w:numPr>
                <w:ilvl w:val="1"/>
                <w:numId w:val="2"/>
              </w:numPr>
            </w:pPr>
            <w:r>
              <w:t>On the left, for what you</w:t>
            </w:r>
            <w:r w:rsidR="002B6EB7">
              <w:t xml:space="preserve"> enter in </w:t>
            </w:r>
            <w:r>
              <w:t>USERNAME and PASSWORD fields</w:t>
            </w:r>
          </w:p>
          <w:p w:rsidR="0088120F" w:rsidRDefault="00EA151A" w:rsidP="0088120F">
            <w:pPr>
              <w:pStyle w:val="ListParagraph"/>
              <w:numPr>
                <w:ilvl w:val="1"/>
                <w:numId w:val="2"/>
              </w:numPr>
            </w:pPr>
            <w:r>
              <w:t>On the right, for this statement:</w:t>
            </w:r>
            <w:r>
              <w:rPr>
                <w:noProof/>
              </w:rPr>
              <w:drawing>
                <wp:inline distT="0" distB="0" distL="0" distR="0">
                  <wp:extent cx="4054191" cy="5715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toaccessthecourse-DEintruction on right.PNG"/>
                          <pic:cNvPicPr/>
                        </pic:nvPicPr>
                        <pic:blipFill>
                          <a:blip r:embed="rId7">
                            <a:extLst>
                              <a:ext uri="{28A0092B-C50C-407E-A947-70E740481C1C}">
                                <a14:useLocalDpi xmlns:a14="http://schemas.microsoft.com/office/drawing/2010/main" val="0"/>
                              </a:ext>
                            </a:extLst>
                          </a:blip>
                          <a:stretch>
                            <a:fillRect/>
                          </a:stretch>
                        </pic:blipFill>
                        <pic:spPr>
                          <a:xfrm>
                            <a:off x="0" y="0"/>
                            <a:ext cx="4054191" cy="571550"/>
                          </a:xfrm>
                          <a:prstGeom prst="rect">
                            <a:avLst/>
                          </a:prstGeom>
                        </pic:spPr>
                      </pic:pic>
                    </a:graphicData>
                  </a:graphic>
                </wp:inline>
              </w:drawing>
            </w:r>
          </w:p>
          <w:p w:rsidR="003C3626" w:rsidRDefault="00ED5C03" w:rsidP="00602F1E">
            <w:pPr>
              <w:pStyle w:val="ListParagraph"/>
              <w:numPr>
                <w:ilvl w:val="0"/>
                <w:numId w:val="2"/>
              </w:numPr>
            </w:pPr>
            <w:r>
              <w:t>F</w:t>
            </w:r>
            <w:r w:rsidR="003C3626">
              <w:t>ollow the directions in the</w:t>
            </w:r>
            <w:r w:rsidR="003C3626">
              <w:rPr>
                <w:b/>
                <w:color w:val="C00000"/>
              </w:rPr>
              <w:t xml:space="preserve"> </w:t>
            </w:r>
            <w:r w:rsidR="003C3626" w:rsidRPr="00EA151A">
              <w:rPr>
                <w:b/>
                <w:color w:val="860000"/>
              </w:rPr>
              <w:t>Login Here</w:t>
            </w:r>
            <w:r w:rsidR="003C3626">
              <w:rPr>
                <w:color w:val="C00000"/>
              </w:rPr>
              <w:t xml:space="preserve"> </w:t>
            </w:r>
            <w:r w:rsidR="003C3626">
              <w:t xml:space="preserve">section for what you type in </w:t>
            </w:r>
            <w:r w:rsidR="00EA151A">
              <w:t>the USERNAME and PASSWORD</w:t>
            </w:r>
            <w:r w:rsidR="003C3626">
              <w:t xml:space="preserve"> fields.</w:t>
            </w:r>
            <w:r>
              <w:t xml:space="preserve"> </w:t>
            </w:r>
            <w:r w:rsidR="00EA151A" w:rsidRPr="00EA151A">
              <w:rPr>
                <w:b/>
                <w:highlight w:val="cyan"/>
              </w:rPr>
              <w:t>Tip:</w:t>
            </w:r>
            <w:r w:rsidR="00EA151A">
              <w:t xml:space="preserve"> </w:t>
            </w:r>
            <w:r w:rsidR="002B6EB7">
              <w:t>For</w:t>
            </w:r>
            <w:r w:rsidR="00EA151A">
              <w:t xml:space="preserve"> help, see </w:t>
            </w:r>
            <w:r w:rsidR="00EA151A" w:rsidRPr="00267177">
              <w:rPr>
                <w:b/>
                <w:color w:val="2A6CA8"/>
              </w:rPr>
              <w:t>How to Log In</w:t>
            </w:r>
            <w:r w:rsidR="002B6EB7">
              <w:rPr>
                <w:b/>
                <w:color w:val="2A6CA8"/>
              </w:rPr>
              <w:t>.</w:t>
            </w:r>
          </w:p>
          <w:p w:rsidR="003C3626" w:rsidRDefault="00267177" w:rsidP="007D7C54">
            <w:pPr>
              <w:pStyle w:val="ListParagraph"/>
              <w:numPr>
                <w:ilvl w:val="0"/>
                <w:numId w:val="2"/>
              </w:numPr>
            </w:pPr>
            <w:r>
              <w:t>Once</w:t>
            </w:r>
            <w:r w:rsidR="00EA151A">
              <w:t xml:space="preserve"> you </w:t>
            </w:r>
            <w:r w:rsidR="003C3626">
              <w:t xml:space="preserve">Login </w:t>
            </w:r>
            <w:r w:rsidR="00EA151A">
              <w:t>in, o</w:t>
            </w:r>
            <w:r w:rsidR="003C3626">
              <w:t xml:space="preserve">n the left of the new screen see the words </w:t>
            </w:r>
            <w:r w:rsidR="003C3626" w:rsidRPr="00267177">
              <w:rPr>
                <w:b/>
                <w:color w:val="860000"/>
              </w:rPr>
              <w:t>My Courses.</w:t>
            </w:r>
          </w:p>
          <w:p w:rsidR="003C3626" w:rsidRDefault="003C3626" w:rsidP="00602F1E">
            <w:pPr>
              <w:pStyle w:val="ListParagraph"/>
              <w:numPr>
                <w:ilvl w:val="0"/>
                <w:numId w:val="2"/>
              </w:numPr>
            </w:pPr>
            <w:r>
              <w:t xml:space="preserve">Look for our course and click on it. </w:t>
            </w:r>
            <w:r w:rsidR="00267177">
              <w:t>(This shows the instructor’s view for now.)</w:t>
            </w:r>
            <w:r w:rsidR="00267177">
              <w:br/>
            </w:r>
            <w:r w:rsidR="00267177">
              <w:rPr>
                <w:noProof/>
              </w:rPr>
              <w:drawing>
                <wp:inline distT="0" distB="0" distL="0" distR="0">
                  <wp:extent cx="3909399" cy="39627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lCourse opens.PNG"/>
                          <pic:cNvPicPr/>
                        </pic:nvPicPr>
                        <pic:blipFill>
                          <a:blip r:embed="rId8">
                            <a:extLst>
                              <a:ext uri="{28A0092B-C50C-407E-A947-70E740481C1C}">
                                <a14:useLocalDpi xmlns:a14="http://schemas.microsoft.com/office/drawing/2010/main" val="0"/>
                              </a:ext>
                            </a:extLst>
                          </a:blip>
                          <a:stretch>
                            <a:fillRect/>
                          </a:stretch>
                        </pic:blipFill>
                        <pic:spPr>
                          <a:xfrm>
                            <a:off x="0" y="0"/>
                            <a:ext cx="3909399" cy="396274"/>
                          </a:xfrm>
                          <a:prstGeom prst="rect">
                            <a:avLst/>
                          </a:prstGeom>
                        </pic:spPr>
                      </pic:pic>
                    </a:graphicData>
                  </a:graphic>
                </wp:inline>
              </w:drawing>
            </w:r>
          </w:p>
          <w:p w:rsidR="00230454" w:rsidRDefault="00230454" w:rsidP="00230454">
            <w:pPr>
              <w:pStyle w:val="ListParagraph"/>
              <w:ind w:left="0"/>
            </w:pPr>
            <w:r>
              <w:t>------------------------------------------------------------------------------------------------------------</w:t>
            </w:r>
          </w:p>
          <w:p w:rsidR="005F4251" w:rsidRDefault="005F4251" w:rsidP="005F4251">
            <w:pPr>
              <w:pStyle w:val="Heading2"/>
              <w:outlineLvl w:val="1"/>
              <w:rPr>
                <w:b w:val="0"/>
                <w:color w:val="2E74B5" w:themeColor="accent1" w:themeShade="BF"/>
              </w:rPr>
            </w:pPr>
            <w:r w:rsidRPr="005F4251">
              <w:rPr>
                <w:i/>
                <w:shd w:val="clear" w:color="auto" w:fill="FFC000"/>
              </w:rPr>
              <w:t>Caution</w:t>
            </w:r>
            <w:r w:rsidR="00DE5D76" w:rsidRPr="005F4251">
              <w:rPr>
                <w:i/>
                <w:shd w:val="clear" w:color="auto" w:fill="FFC000"/>
              </w:rPr>
              <w:t>:</w:t>
            </w:r>
            <w:r>
              <w:t xml:space="preserve"> Do Not Come Into the Course This Way</w:t>
            </w:r>
          </w:p>
          <w:p w:rsidR="005F4251" w:rsidRDefault="005F4251" w:rsidP="005F4251">
            <w:pPr>
              <w:rPr>
                <w:rFonts w:ascii="Calibri" w:eastAsia="Calibri" w:hAnsi="Calibri" w:cs="Times New Roman"/>
              </w:rPr>
            </w:pPr>
            <w:r>
              <w:t xml:space="preserve">The Director of Distance Education at WCJC encourages students </w:t>
            </w:r>
            <w:r w:rsidRPr="003473AD">
              <w:rPr>
                <w:rStyle w:val="Strong"/>
              </w:rPr>
              <w:t>never</w:t>
            </w:r>
            <w:r>
              <w:rPr>
                <w:b/>
              </w:rPr>
              <w:t xml:space="preserve"> </w:t>
            </w:r>
            <w:r>
              <w:t xml:space="preserve">to use what is called Blackboard’s Global Navigation. The students who </w:t>
            </w:r>
            <w:r>
              <w:rPr>
                <w:b/>
              </w:rPr>
              <w:t xml:space="preserve">failed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5F4251" w:rsidTr="006837DF">
              <w:tc>
                <w:tcPr>
                  <w:tcW w:w="3870" w:type="dxa"/>
                </w:tcPr>
                <w:p w:rsidR="005F4251" w:rsidRDefault="005F4251" w:rsidP="005F4251">
                  <w:pPr>
                    <w:rPr>
                      <w:rFonts w:ascii="Calibri" w:eastAsia="Calibri" w:hAnsi="Calibri" w:cs="Times New Roman"/>
                    </w:rPr>
                  </w:pPr>
                </w:p>
              </w:tc>
              <w:tc>
                <w:tcPr>
                  <w:tcW w:w="2178" w:type="dxa"/>
                  <w:hideMark/>
                </w:tcPr>
                <w:p w:rsidR="005F4251" w:rsidRPr="005F4251" w:rsidRDefault="005F4251" w:rsidP="005F4251">
                  <w:pPr>
                    <w:rPr>
                      <w:rFonts w:ascii="Calibri" w:eastAsia="Calibri" w:hAnsi="Calibri" w:cs="Times New Roman"/>
                      <w:b/>
                      <w:color w:val="FF0000"/>
                      <w:sz w:val="28"/>
                      <w:szCs w:val="28"/>
                    </w:rPr>
                  </w:pPr>
                  <w:r w:rsidRPr="005F4251">
                    <w:rPr>
                      <w:rFonts w:ascii="Calibri" w:eastAsia="Calibri" w:hAnsi="Calibri" w:cs="Times New Roman"/>
                      <w:b/>
                      <w:color w:val="FF0000"/>
                      <w:sz w:val="28"/>
                      <w:szCs w:val="28"/>
                    </w:rPr>
                    <w:t>Do NOT use this</w:t>
                  </w:r>
                </w:p>
                <w:p w:rsidR="005F4251" w:rsidRDefault="005F4251" w:rsidP="005F4251">
                  <w:pPr>
                    <w:rPr>
                      <w:rFonts w:ascii="Calibri" w:eastAsia="Calibri" w:hAnsi="Calibri" w:cs="Times New Roman"/>
                      <w:b/>
                      <w:sz w:val="36"/>
                      <w:szCs w:val="36"/>
                    </w:rPr>
                  </w:pPr>
                  <w:r w:rsidRPr="005F4251">
                    <w:rPr>
                      <w:rFonts w:ascii="Calibri" w:eastAsia="Calibri" w:hAnsi="Calibri" w:cs="Times New Roman"/>
                      <w:b/>
                      <w:color w:val="FF0000"/>
                      <w:sz w:val="28"/>
                      <w:szCs w:val="28"/>
                    </w:rPr>
                    <w:t>↓</w:t>
                  </w:r>
                </w:p>
              </w:tc>
            </w:tr>
            <w:tr w:rsidR="005F4251" w:rsidTr="006837DF">
              <w:tc>
                <w:tcPr>
                  <w:tcW w:w="6048" w:type="dxa"/>
                  <w:gridSpan w:val="2"/>
                  <w:hideMark/>
                </w:tcPr>
                <w:p w:rsidR="005F4251" w:rsidRDefault="005F4251" w:rsidP="005F4251">
                  <w:pPr>
                    <w:rPr>
                      <w:rFonts w:ascii="Calibri" w:eastAsia="Calibri" w:hAnsi="Calibri" w:cs="Times New Roman"/>
                    </w:rPr>
                  </w:pPr>
                  <w:r>
                    <w:rPr>
                      <w:rFonts w:ascii="Calibri" w:eastAsia="Calibri" w:hAnsi="Calibri" w:cs="Times New Roman"/>
                      <w:noProof/>
                    </w:rPr>
                    <w:drawing>
                      <wp:inline distT="0" distB="0" distL="0" distR="0" wp14:anchorId="7D1269AD" wp14:editId="466D034A">
                        <wp:extent cx="2697480" cy="841248"/>
                        <wp:effectExtent l="0" t="0" r="762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697480" cy="841248"/>
                                </a:xfrm>
                                <a:prstGeom prst="rect">
                                  <a:avLst/>
                                </a:prstGeom>
                                <a:noFill/>
                                <a:ln>
                                  <a:noFill/>
                                </a:ln>
                              </pic:spPr>
                            </pic:pic>
                          </a:graphicData>
                        </a:graphic>
                      </wp:inline>
                    </w:drawing>
                  </w:r>
                </w:p>
              </w:tc>
            </w:tr>
          </w:tbl>
          <w:p w:rsidR="005F4251" w:rsidRDefault="005F4251" w:rsidP="005F4251">
            <w:pPr>
              <w:rPr>
                <w:rFonts w:ascii="Calibri" w:eastAsia="Calibri" w:hAnsi="Calibri" w:cs="Times New Roman"/>
              </w:rPr>
            </w:pPr>
          </w:p>
          <w:p w:rsidR="003C3626" w:rsidRPr="00602F1E" w:rsidRDefault="003C3626" w:rsidP="003473AD">
            <w:pPr>
              <w:pStyle w:val="ListParagraph"/>
              <w:numPr>
                <w:ilvl w:val="0"/>
                <w:numId w:val="2"/>
              </w:numPr>
            </w:pPr>
          </w:p>
        </w:tc>
        <w:tc>
          <w:tcPr>
            <w:tcW w:w="288" w:type="dxa"/>
            <w:tcBorders>
              <w:top w:val="nil"/>
              <w:bottom w:val="nil"/>
            </w:tcBorders>
          </w:tcPr>
          <w:p w:rsidR="003C3626" w:rsidRPr="008A2D84" w:rsidRDefault="003C3626" w:rsidP="008A2D84"/>
        </w:tc>
        <w:tc>
          <w:tcPr>
            <w:tcW w:w="7277" w:type="dxa"/>
            <w:gridSpan w:val="2"/>
            <w:tcBorders>
              <w:bottom w:val="nil"/>
            </w:tcBorders>
          </w:tcPr>
          <w:p w:rsidR="00230454" w:rsidRDefault="00230454" w:rsidP="00230454">
            <w:bookmarkStart w:id="1" w:name="_Caution:_For_Your"/>
            <w:bookmarkEnd w:id="1"/>
            <w:r>
              <w:t>. This course uses a List of Due Dates (clickable from the Course Menu on its left) that tells when everything shown below opens and when it is due and what you do for what number of points. The course is set up:</w:t>
            </w:r>
          </w:p>
          <w:p w:rsidR="00230454" w:rsidRDefault="00230454" w:rsidP="00230454">
            <w:pPr>
              <w:pStyle w:val="ListParagraph"/>
              <w:numPr>
                <w:ilvl w:val="0"/>
                <w:numId w:val="29"/>
              </w:numPr>
            </w:pPr>
            <w:r>
              <w:t xml:space="preserve">For you do </w:t>
            </w:r>
            <w:r w:rsidRPr="0088120F">
              <w:rPr>
                <w:b/>
              </w:rPr>
              <w:t>everything in one place</w:t>
            </w:r>
            <w:r>
              <w:rPr>
                <w:b/>
              </w:rPr>
              <w:t>—</w:t>
            </w:r>
            <w:r w:rsidRPr="00230454">
              <w:t>the Learning Modules (All Content &amp; Graded Work)</w:t>
            </w:r>
            <w:r>
              <w:t>.</w:t>
            </w:r>
            <w:r w:rsidRPr="00230454">
              <w:rPr>
                <w:b/>
                <w:i/>
              </w:rPr>
              <w:t xml:space="preserve"> Everything</w:t>
            </w:r>
            <w:r>
              <w:t xml:space="preserve"> means that you have</w:t>
            </w:r>
            <w:r w:rsidR="00B91810">
              <w:t xml:space="preserve"> in the folder</w:t>
            </w:r>
            <w:r>
              <w:t>:</w:t>
            </w:r>
          </w:p>
          <w:p w:rsidR="00230454" w:rsidRDefault="00230454" w:rsidP="00230454">
            <w:pPr>
              <w:pStyle w:val="ListParagraph"/>
              <w:numPr>
                <w:ilvl w:val="1"/>
                <w:numId w:val="29"/>
              </w:numPr>
            </w:pPr>
            <w:r>
              <w:t>Not just content</w:t>
            </w:r>
            <w:r w:rsidR="00B91810">
              <w:t xml:space="preserve"> and instructions</w:t>
            </w:r>
          </w:p>
          <w:p w:rsidR="00230454" w:rsidRPr="00230454" w:rsidRDefault="00230454" w:rsidP="00230454">
            <w:pPr>
              <w:pStyle w:val="ListParagraph"/>
              <w:numPr>
                <w:ilvl w:val="1"/>
                <w:numId w:val="29"/>
              </w:numPr>
            </w:pPr>
            <w:r>
              <w:t>But also every assignment you do with that content</w:t>
            </w:r>
          </w:p>
          <w:p w:rsidR="00230454" w:rsidRDefault="00230454" w:rsidP="00230454">
            <w:pPr>
              <w:pStyle w:val="ListParagraph"/>
              <w:numPr>
                <w:ilvl w:val="0"/>
                <w:numId w:val="29"/>
              </w:numPr>
            </w:pPr>
            <w:r>
              <w:t xml:space="preserve">For Blackboard to show work to you </w:t>
            </w:r>
            <w:r w:rsidRPr="0088120F">
              <w:rPr>
                <w:b/>
              </w:rPr>
              <w:t>automatically</w:t>
            </w:r>
            <w:r>
              <w:t xml:space="preserve"> as that work opens. </w:t>
            </w:r>
            <w:r w:rsidRPr="00230454">
              <w:rPr>
                <w:b/>
                <w:i/>
              </w:rPr>
              <w:t>Automatically</w:t>
            </w:r>
            <w:r>
              <w:t xml:space="preserve"> means </w:t>
            </w:r>
          </w:p>
          <w:p w:rsidR="003C3626" w:rsidRDefault="00230454" w:rsidP="004774BD">
            <w:r>
              <w:rPr>
                <w:noProof/>
              </w:rPr>
              <w:drawing>
                <wp:inline distT="0" distB="0" distL="0" distR="0">
                  <wp:extent cx="4008467" cy="38560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ing modules.PNG"/>
                          <pic:cNvPicPr/>
                        </pic:nvPicPr>
                        <pic:blipFill>
                          <a:blip r:embed="rId10">
                            <a:extLst>
                              <a:ext uri="{28A0092B-C50C-407E-A947-70E740481C1C}">
                                <a14:useLocalDpi xmlns:a14="http://schemas.microsoft.com/office/drawing/2010/main" val="0"/>
                              </a:ext>
                            </a:extLst>
                          </a:blip>
                          <a:stretch>
                            <a:fillRect/>
                          </a:stretch>
                        </pic:blipFill>
                        <pic:spPr>
                          <a:xfrm>
                            <a:off x="0" y="0"/>
                            <a:ext cx="4008467" cy="3856054"/>
                          </a:xfrm>
                          <a:prstGeom prst="rect">
                            <a:avLst/>
                          </a:prstGeom>
                        </pic:spPr>
                      </pic:pic>
                    </a:graphicData>
                  </a:graphic>
                </wp:inline>
              </w:drawing>
            </w:r>
          </w:p>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0F033D" w:rsidRDefault="000F033D">
      <w:pPr>
        <w:spacing w:after="0" w:line="240" w:lineRule="auto"/>
      </w:pPr>
      <w:bookmarkStart w:id="2" w:name="_1st_Steps_in"/>
      <w:bookmarkEnd w:id="2"/>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3" w:name="_Key_to_Success"/>
            <w:bookmarkStart w:id="4" w:name="_How_Do_Self-Tests"/>
            <w:bookmarkEnd w:id="3"/>
            <w:bookmarkEnd w:id="4"/>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5" w:name="_A_Visual_to"/>
            <w:bookmarkEnd w:id="5"/>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selftest    &lt;Notice no spaces, no punctuation, no capitals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DC16A3" w:rsidRDefault="00DC16A3" w:rsidP="00DC16A3">
      <w:pPr>
        <w:pStyle w:val="Heading3"/>
      </w:pPr>
      <w:bookmarkStart w:id="6" w:name="_Tasks_You_Do"/>
      <w:bookmarkEnd w:id="6"/>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2119"/>
        <w:gridCol w:w="801"/>
      </w:tblGrid>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rsidP="00DB3E0E">
            <w:pPr>
              <w:spacing w:line="276" w:lineRule="auto"/>
              <w:rPr>
                <w:b/>
              </w:rPr>
            </w:pPr>
            <w:r>
              <w:rPr>
                <w:b/>
              </w:rPr>
              <w:t>#</w:t>
            </w:r>
          </w:p>
        </w:tc>
        <w:tc>
          <w:tcPr>
            <w:tcW w:w="12119" w:type="dxa"/>
            <w:tcBorders>
              <w:top w:val="single" w:sz="4" w:space="0" w:color="auto"/>
              <w:left w:val="nil"/>
              <w:bottom w:val="single" w:sz="4" w:space="0" w:color="auto"/>
              <w:right w:val="single" w:sz="4" w:space="0" w:color="auto"/>
            </w:tcBorders>
            <w:hideMark/>
          </w:tcPr>
          <w:p w:rsidR="00BE7F82" w:rsidRDefault="00BE7F82"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Pr>
                <w:b/>
              </w:rPr>
              <w:t>points are reminders you to protect you.)</w:t>
            </w:r>
          </w:p>
        </w:tc>
        <w:tc>
          <w:tcPr>
            <w:tcW w:w="801" w:type="dxa"/>
            <w:tcBorders>
              <w:top w:val="single" w:sz="4" w:space="0" w:color="auto"/>
              <w:left w:val="single" w:sz="4" w:space="0" w:color="auto"/>
              <w:bottom w:val="single" w:sz="4" w:space="0" w:color="auto"/>
              <w:right w:val="single" w:sz="4" w:space="0" w:color="auto"/>
            </w:tcBorders>
            <w:hideMark/>
          </w:tcPr>
          <w:p w:rsidR="00BE7F82" w:rsidRDefault="00BE7F82">
            <w:pPr>
              <w:spacing w:line="276" w:lineRule="auto"/>
              <w:rPr>
                <w:b/>
              </w:rPr>
            </w:pPr>
            <w:r>
              <w:rPr>
                <w:b/>
              </w:rPr>
              <w:t>Points</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pPr>
              <w:spacing w:line="276" w:lineRule="auto"/>
            </w:pPr>
            <w:r>
              <w:t>1</w:t>
            </w:r>
          </w:p>
        </w:tc>
        <w:tc>
          <w:tcPr>
            <w:tcW w:w="12119" w:type="dxa"/>
            <w:tcBorders>
              <w:top w:val="single" w:sz="4" w:space="0" w:color="auto"/>
              <w:left w:val="single" w:sz="4" w:space="0" w:color="auto"/>
              <w:bottom w:val="single" w:sz="4" w:space="0" w:color="auto"/>
              <w:right w:val="single" w:sz="4" w:space="0" w:color="auto"/>
            </w:tcBorders>
            <w:hideMark/>
          </w:tcPr>
          <w:p w:rsidR="00BE7F82" w:rsidRPr="00A65D0F" w:rsidRDefault="00BE7F82">
            <w:pPr>
              <w:spacing w:line="276" w:lineRule="auto"/>
            </w:pPr>
            <w:r w:rsidRPr="00D61ACB">
              <w:rPr>
                <w:rStyle w:val="Strong"/>
                <w:highlight w:val="cyan"/>
              </w:rPr>
              <w:t>Tip:</w:t>
            </w:r>
            <w:r>
              <w:t xml:space="preserve"> Before you do this, look at </w:t>
            </w:r>
            <w:r w:rsidRPr="00085511">
              <w:rPr>
                <w:b/>
                <w:bCs/>
              </w:rPr>
              <w:t>How Do Self-Tests and Full-Tests Work to Help You?</w:t>
            </w:r>
            <w:r>
              <w:rPr>
                <w:b/>
                <w:bCs/>
              </w:rPr>
              <w:t xml:space="preserve"> </w:t>
            </w:r>
            <w:r w:rsidRPr="008A1AA5">
              <w:rPr>
                <w:bCs/>
              </w:rPr>
              <w:t>and at</w:t>
            </w:r>
            <w:r>
              <w:rPr>
                <w:b/>
                <w:bCs/>
              </w:rPr>
              <w:t xml:space="preserve"> </w:t>
            </w:r>
            <w:r w:rsidRPr="00A65D0F">
              <w:rPr>
                <w:b/>
              </w:rPr>
              <w:t>A Visual to Help You: How a Self-Test and its Full-Test Works</w:t>
            </w:r>
            <w:r>
              <w:rPr>
                <w:b/>
              </w:rPr>
              <w:t xml:space="preserve"> </w:t>
            </w:r>
            <w:r>
              <w:t>(</w:t>
            </w:r>
          </w:p>
          <w:p w:rsidR="00BE7F82" w:rsidRDefault="00BE7F82" w:rsidP="00BB2B26">
            <w:pPr>
              <w:pStyle w:val="ListParagraph"/>
              <w:numPr>
                <w:ilvl w:val="0"/>
                <w:numId w:val="18"/>
              </w:numPr>
              <w:spacing w:line="276" w:lineRule="auto"/>
            </w:pPr>
            <w:r>
              <w:t>Take the quiz named Self-Test: Dangerous Assumptions. The description with the quiz tells how this works and the password. It also tells you what Blackboard automatically displays:</w:t>
            </w:r>
          </w:p>
          <w:p w:rsidR="00BE7F82" w:rsidRDefault="00BE7F82" w:rsidP="003473AD">
            <w:pPr>
              <w:pStyle w:val="ListParagraph"/>
              <w:numPr>
                <w:ilvl w:val="0"/>
                <w:numId w:val="18"/>
              </w:numPr>
              <w:spacing w:line="276" w:lineRule="auto"/>
            </w:pPr>
            <w:r>
              <w:t>Blackboard automatically displays:</w:t>
            </w:r>
          </w:p>
          <w:p w:rsidR="00BE7F82" w:rsidRDefault="00BE7F82" w:rsidP="00D61ACB">
            <w:pPr>
              <w:pStyle w:val="ListParagraph"/>
              <w:numPr>
                <w:ilvl w:val="1"/>
                <w:numId w:val="18"/>
              </w:numPr>
              <w:spacing w:line="276" w:lineRule="auto"/>
            </w:pPr>
            <w:r>
              <w:t xml:space="preserve">The same questions that you saw followed by answers. </w:t>
            </w:r>
          </w:p>
          <w:p w:rsidR="00BE7F82" w:rsidRDefault="00BE7F82" w:rsidP="00D61ACB">
            <w:pPr>
              <w:pStyle w:val="ListParagraph"/>
              <w:numPr>
                <w:ilvl w:val="1"/>
                <w:numId w:val="18"/>
              </w:numPr>
              <w:spacing w:line="276" w:lineRule="auto"/>
            </w:pPr>
            <w:r>
              <w:t xml:space="preserve">If needed, a link or other resource to help you see easily. For example, with these questions, if you missed something, you want to know what the reasoning is for that answer being incorrect. If you do not understand why something is incorrect, then talk to your prof. </w:t>
            </w:r>
          </w:p>
          <w:p w:rsidR="00BE7F82" w:rsidRDefault="00BE7F82" w:rsidP="00D61ACB">
            <w:pPr>
              <w:pStyle w:val="ListParagraph"/>
              <w:numPr>
                <w:ilvl w:val="1"/>
                <w:numId w:val="18"/>
              </w:numPr>
              <w:spacing w:line="276" w:lineRule="auto"/>
            </w:pPr>
            <w:r>
              <w:t xml:space="preserve">The Full-Test (Each question </w:t>
            </w:r>
            <w:r w:rsidRPr="00BD0894">
              <w:t>2</w:t>
            </w:r>
            <w:r w:rsidRPr="00C32869">
              <w:rPr>
                <w:sz w:val="44"/>
                <w:szCs w:val="44"/>
              </w:rPr>
              <w:t xml:space="preserve"> </w:t>
            </w:r>
            <w:r>
              <w:t xml:space="preserve">points). </w:t>
            </w:r>
          </w:p>
          <w:p w:rsidR="00BE7F82" w:rsidRDefault="00BE7F82" w:rsidP="00D4351A">
            <w:pPr>
              <w:pStyle w:val="ListParagraph"/>
              <w:numPr>
                <w:ilvl w:val="0"/>
                <w:numId w:val="18"/>
              </w:numPr>
              <w:spacing w:line="276" w:lineRule="auto"/>
            </w:pPr>
            <w:r>
              <w:t>Take the Full-Test. If you do not get all 20 on the first try, take it again until you</w:t>
            </w:r>
            <w:r w:rsidR="00BB0B0E">
              <w:t xml:space="preserve"> do. The highest grade counts. </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7F82" w:rsidRDefault="00BE7F82">
            <w:pPr>
              <w:spacing w:line="276" w:lineRule="auto"/>
            </w:pPr>
            <w:r>
              <w:t>20</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pPr>
              <w:spacing w:line="276" w:lineRule="auto"/>
            </w:pPr>
            <w:r>
              <w:t>2</w:t>
            </w:r>
          </w:p>
        </w:tc>
        <w:tc>
          <w:tcPr>
            <w:tcW w:w="12119" w:type="dxa"/>
            <w:tcBorders>
              <w:top w:val="single" w:sz="4" w:space="0" w:color="auto"/>
              <w:left w:val="single" w:sz="4" w:space="0" w:color="auto"/>
              <w:bottom w:val="single" w:sz="4" w:space="0" w:color="auto"/>
              <w:right w:val="single" w:sz="4" w:space="0" w:color="auto"/>
            </w:tcBorders>
            <w:hideMark/>
          </w:tcPr>
          <w:p w:rsidR="00BE7F82" w:rsidRDefault="00BE7F82" w:rsidP="00A746AD">
            <w:pPr>
              <w:spacing w:line="276" w:lineRule="auto"/>
            </w:pPr>
            <w:r>
              <w:t xml:space="preserve">Notice the caution. Do be sure you </w:t>
            </w:r>
            <w:r w:rsidRPr="00743F1E">
              <w:rPr>
                <w:b/>
              </w:rPr>
              <w:t>find out why you missed i</w:t>
            </w:r>
            <w:r>
              <w:t xml:space="preserve">t. </w:t>
            </w:r>
            <w:r>
              <w:rPr>
                <w:b/>
                <w:i/>
                <w:shd w:val="clear" w:color="auto" w:fill="FFC000"/>
              </w:rPr>
              <w:t>Caution:</w:t>
            </w:r>
            <w:r>
              <w:t xml:space="preserve"> You must make a 20 on this Full-Test to earn the extra 5 points and </w:t>
            </w:r>
            <w:r w:rsidRPr="00743F1E">
              <w:rPr>
                <w:b/>
              </w:rPr>
              <w:t>more than the points</w:t>
            </w:r>
            <w:r>
              <w:t xml:space="preserve"> you want to know that your prof is probably is going to </w:t>
            </w:r>
            <w:r w:rsidR="00B92A02">
              <w:t>act differently than you would.</w:t>
            </w:r>
            <w:bookmarkStart w:id="7" w:name="_GoBack"/>
            <w:bookmarkEnd w:id="7"/>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7F82" w:rsidRDefault="00BE7F82">
            <w:pPr>
              <w:spacing w:line="276" w:lineRule="auto"/>
            </w:pPr>
            <w:r>
              <w:t>5</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pPr>
              <w:spacing w:line="276" w:lineRule="auto"/>
            </w:pPr>
            <w:r>
              <w:t>3</w:t>
            </w:r>
          </w:p>
        </w:tc>
        <w:tc>
          <w:tcPr>
            <w:tcW w:w="12119" w:type="dxa"/>
            <w:tcBorders>
              <w:top w:val="single" w:sz="4" w:space="0" w:color="auto"/>
              <w:left w:val="single" w:sz="4" w:space="0" w:color="auto"/>
              <w:bottom w:val="single" w:sz="4" w:space="0" w:color="auto"/>
              <w:right w:val="single" w:sz="4" w:space="0" w:color="auto"/>
            </w:tcBorders>
            <w:hideMark/>
          </w:tcPr>
          <w:p w:rsidR="00BE7F82" w:rsidRDefault="00BE7F82" w:rsidP="00A5144F">
            <w:pPr>
              <w:spacing w:line="276" w:lineRule="auto"/>
            </w:pPr>
            <w:r>
              <w:t>Take the quiz named Syllabus Acknowledgement Quiz. (</w:t>
            </w:r>
            <w:r>
              <w:rPr>
                <w:b/>
                <w:i/>
                <w:shd w:val="clear" w:color="auto" w:fill="FFC000"/>
              </w:rPr>
              <w:t>Caution:</w:t>
            </w:r>
            <w:r>
              <w:t xml:space="preserve"> You must do it to stay in the course. To ensure that that happens, you will not see Unit 1 </w:t>
            </w:r>
            <w:r w:rsidR="00A5144F">
              <w:t>folder</w:t>
            </w:r>
            <w:r>
              <w:t xml:space="preserve"> unless you take this quiz. Do this during Getting Started so you do not forget.)</w:t>
            </w:r>
          </w:p>
        </w:tc>
        <w:tc>
          <w:tcPr>
            <w:tcW w:w="801" w:type="dxa"/>
            <w:tcBorders>
              <w:top w:val="single" w:sz="4" w:space="0" w:color="auto"/>
              <w:left w:val="single" w:sz="4" w:space="0" w:color="auto"/>
              <w:bottom w:val="single" w:sz="4" w:space="0" w:color="auto"/>
              <w:right w:val="single" w:sz="4" w:space="0" w:color="auto"/>
            </w:tcBorders>
            <w:hideMark/>
          </w:tcPr>
          <w:p w:rsidR="00BE7F82" w:rsidRDefault="00BE7F82">
            <w:pPr>
              <w:spacing w:line="276" w:lineRule="auto"/>
            </w:pPr>
            <w:r>
              <w:t>1</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rsidP="00492317">
            <w:pPr>
              <w:spacing w:line="276" w:lineRule="auto"/>
            </w:pPr>
            <w:r>
              <w:t>4</w:t>
            </w:r>
          </w:p>
        </w:tc>
        <w:tc>
          <w:tcPr>
            <w:tcW w:w="12119" w:type="dxa"/>
            <w:tcBorders>
              <w:top w:val="single" w:sz="4" w:space="0" w:color="auto"/>
              <w:left w:val="single" w:sz="4" w:space="0" w:color="auto"/>
              <w:bottom w:val="single" w:sz="4" w:space="0" w:color="auto"/>
              <w:right w:val="single" w:sz="4" w:space="0" w:color="auto"/>
            </w:tcBorders>
            <w:hideMark/>
          </w:tcPr>
          <w:p w:rsidR="00BE7F82" w:rsidRDefault="00BE7F82" w:rsidP="00492317">
            <w:pPr>
              <w:spacing w:line="276" w:lineRule="auto"/>
            </w:pPr>
            <w:r>
              <w:t xml:space="preserve">Respond to the </w:t>
            </w:r>
            <w:r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Pr>
                <w:b/>
              </w:rPr>
              <w:t>Opens E</w:t>
            </w:r>
            <w:r w:rsidRPr="00824851">
              <w:rPr>
                <w:b/>
              </w:rPr>
              <w:t>mail</w:t>
            </w:r>
            <w:r>
              <w:t xml:space="preserve"> according to the directions. This was sent to your </w:t>
            </w:r>
            <w:r w:rsidRPr="00226EDA">
              <w:rPr>
                <w:rStyle w:val="Strong"/>
              </w:rPr>
              <w:t>wcjc.edu</w:t>
            </w:r>
            <w:r>
              <w:t xml:space="preserve"> email before 3/30, when:</w:t>
            </w:r>
          </w:p>
          <w:p w:rsidR="00BE7F82" w:rsidRDefault="00BE7F82" w:rsidP="00E13801">
            <w:pPr>
              <w:pStyle w:val="ListParagraph"/>
              <w:numPr>
                <w:ilvl w:val="0"/>
                <w:numId w:val="30"/>
              </w:numPr>
              <w:spacing w:line="276" w:lineRule="auto"/>
            </w:pPr>
            <w:r>
              <w:t>The course</w:t>
            </w:r>
            <w:r w:rsidRPr="00900A4F">
              <w:rPr>
                <w:b/>
              </w:rPr>
              <w:t xml:space="preserve"> opened</w:t>
            </w:r>
            <w:r>
              <w:t xml:space="preserve"> </w:t>
            </w:r>
          </w:p>
          <w:p w:rsidR="00BE7F82" w:rsidRDefault="00BE7F82" w:rsidP="00E13801">
            <w:pPr>
              <w:pStyle w:val="ListParagraph"/>
              <w:numPr>
                <w:ilvl w:val="0"/>
                <w:numId w:val="30"/>
              </w:numPr>
              <w:spacing w:line="276" w:lineRule="auto"/>
            </w:pPr>
            <w:r>
              <w:t xml:space="preserve">And WCJC also </w:t>
            </w:r>
            <w:r w:rsidRPr="00900A4F">
              <w:rPr>
                <w:b/>
              </w:rPr>
              <w:t>changed its policy</w:t>
            </w:r>
            <w:r>
              <w:t xml:space="preserve"> about the official email.</w:t>
            </w:r>
          </w:p>
          <w:p w:rsidR="00BE7F82" w:rsidRDefault="00BE7F82" w:rsidP="00492317">
            <w:pPr>
              <w:spacing w:line="276" w:lineRule="auto"/>
            </w:pPr>
            <w:r>
              <w:t>Here is the situation:</w:t>
            </w:r>
          </w:p>
          <w:p w:rsidR="00BE7F82" w:rsidRDefault="00BE7F82" w:rsidP="00FC071D">
            <w:pPr>
              <w:pStyle w:val="ListParagraph"/>
              <w:numPr>
                <w:ilvl w:val="0"/>
                <w:numId w:val="27"/>
              </w:numPr>
              <w:spacing w:line="276" w:lineRule="auto"/>
            </w:pPr>
            <w:r w:rsidRPr="00D4351A">
              <w:rPr>
                <w:b/>
              </w:rPr>
              <w:t xml:space="preserve">Before </w:t>
            </w:r>
            <w:r>
              <w:t>the Blackboard course opened, faculty had long been told to contact students before the class opened, but things change</w:t>
            </w:r>
          </w:p>
          <w:p w:rsidR="00BE7F82" w:rsidRDefault="00BE7F82" w:rsidP="00FC071D">
            <w:pPr>
              <w:pStyle w:val="ListParagraph"/>
              <w:numPr>
                <w:ilvl w:val="0"/>
                <w:numId w:val="27"/>
              </w:numPr>
              <w:spacing w:line="276" w:lineRule="auto"/>
            </w:pPr>
            <w:r w:rsidRPr="00D4351A">
              <w:rPr>
                <w:b/>
              </w:rPr>
              <w:t xml:space="preserve">After </w:t>
            </w:r>
            <w:r>
              <w:t>the Blackboard course opens and more importantly on 3/30, WCJC’s policy has changed and</w:t>
            </w:r>
            <w:r w:rsidRPr="00C76F73">
              <w:rPr>
                <w:rStyle w:val="Strong"/>
              </w:rPr>
              <w:t xml:space="preserve"> all</w:t>
            </w:r>
            <w:r>
              <w:t xml:space="preserve"> communication between you and me </w:t>
            </w:r>
            <w:r w:rsidRPr="00C76F73">
              <w:rPr>
                <w:rStyle w:val="Strong"/>
              </w:rPr>
              <w:t>must</w:t>
            </w:r>
            <w:r>
              <w:t xml:space="preserve"> be in </w:t>
            </w:r>
            <w:r w:rsidRPr="00C76F73">
              <w:rPr>
                <w:rStyle w:val="Strong"/>
              </w:rPr>
              <w:t>Blackboard Course Messages</w:t>
            </w:r>
            <w:r>
              <w:t xml:space="preserve">. </w:t>
            </w:r>
          </w:p>
          <w:p w:rsidR="00BE7F82" w:rsidRDefault="00BE7F82" w:rsidP="00F053BD">
            <w:pPr>
              <w:spacing w:line="276" w:lineRule="auto"/>
            </w:pPr>
            <w:r>
              <w:t>So here is the update on what you do:</w:t>
            </w:r>
          </w:p>
          <w:p w:rsidR="00BE7F82" w:rsidRDefault="00BE7F82" w:rsidP="00E13801">
            <w:pPr>
              <w:pStyle w:val="ListParagraph"/>
              <w:numPr>
                <w:ilvl w:val="0"/>
                <w:numId w:val="31"/>
              </w:numPr>
              <w:spacing w:line="276" w:lineRule="auto"/>
            </w:pPr>
            <w:r>
              <w:t>If you already replied to that email, thanks. It will count. On the other hand, let’s all avoid WCJC’s email unless WCJC’s policy changes.</w:t>
            </w:r>
          </w:p>
          <w:p w:rsidR="00BE7F82" w:rsidRDefault="00BE7F82" w:rsidP="00E13801">
            <w:pPr>
              <w:pStyle w:val="ListParagraph"/>
              <w:numPr>
                <w:ilvl w:val="0"/>
                <w:numId w:val="31"/>
              </w:numPr>
              <w:spacing w:line="276" w:lineRule="auto"/>
            </w:pPr>
            <w:r>
              <w:t>If you have not yet replied, go to the thread that I put in General Course Questions &amp; Repeated Announcements &amp; Tips (Also available in Discussions). Reply to it. It will count.</w:t>
            </w:r>
          </w:p>
        </w:tc>
        <w:tc>
          <w:tcPr>
            <w:tcW w:w="801" w:type="dxa"/>
            <w:tcBorders>
              <w:top w:val="single" w:sz="4" w:space="0" w:color="auto"/>
              <w:left w:val="single" w:sz="4" w:space="0" w:color="auto"/>
              <w:bottom w:val="single" w:sz="4" w:space="0" w:color="auto"/>
              <w:right w:val="single" w:sz="4" w:space="0" w:color="auto"/>
            </w:tcBorders>
            <w:hideMark/>
          </w:tcPr>
          <w:p w:rsidR="00BE7F82" w:rsidRDefault="00BE7F82">
            <w:pPr>
              <w:spacing w:line="276" w:lineRule="auto"/>
            </w:pPr>
            <w:r>
              <w:t>10</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rsidP="00492317">
            <w:pPr>
              <w:spacing w:line="276" w:lineRule="auto"/>
            </w:pPr>
            <w:r>
              <w:t>5</w:t>
            </w:r>
          </w:p>
        </w:tc>
        <w:tc>
          <w:tcPr>
            <w:tcW w:w="12119" w:type="dxa"/>
            <w:tcBorders>
              <w:top w:val="single" w:sz="4" w:space="0" w:color="auto"/>
              <w:left w:val="single" w:sz="4" w:space="0" w:color="auto"/>
              <w:bottom w:val="single" w:sz="4" w:space="0" w:color="auto"/>
              <w:right w:val="single" w:sz="4" w:space="0" w:color="auto"/>
            </w:tcBorders>
          </w:tcPr>
          <w:p w:rsidR="00BE7F82" w:rsidRDefault="00BE7F82" w:rsidP="00492317">
            <w:pPr>
              <w:spacing w:line="276" w:lineRule="auto"/>
            </w:pPr>
            <w:r>
              <w:t xml:space="preserve">Respond to the </w:t>
            </w:r>
            <w:r w:rsidRPr="00900A4F">
              <w:t>Graded Email (for points and to prevent problems)</w:t>
            </w:r>
            <w:r>
              <w:t xml:space="preserve"> according to the directions. Use the link Course Messages (Email) that is in Getting Started.</w:t>
            </w:r>
          </w:p>
          <w:p w:rsidR="00BE7F82" w:rsidRDefault="00BE7F82"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1" w:type="dxa"/>
            <w:tcBorders>
              <w:top w:val="single" w:sz="4" w:space="0" w:color="auto"/>
              <w:left w:val="single" w:sz="4" w:space="0" w:color="auto"/>
              <w:bottom w:val="single" w:sz="4" w:space="0" w:color="auto"/>
              <w:right w:val="single" w:sz="4" w:space="0" w:color="auto"/>
            </w:tcBorders>
          </w:tcPr>
          <w:p w:rsidR="00BE7F82" w:rsidRDefault="00BE7F82">
            <w:pPr>
              <w:spacing w:line="276" w:lineRule="auto"/>
            </w:pPr>
            <w:r>
              <w:t>10</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rsidP="00492317">
            <w:pPr>
              <w:spacing w:line="276" w:lineRule="auto"/>
            </w:pPr>
            <w:r>
              <w:t>6</w:t>
            </w:r>
          </w:p>
        </w:tc>
        <w:tc>
          <w:tcPr>
            <w:tcW w:w="12119" w:type="dxa"/>
            <w:tcBorders>
              <w:top w:val="single" w:sz="4" w:space="0" w:color="auto"/>
              <w:left w:val="single" w:sz="4" w:space="0" w:color="auto"/>
              <w:bottom w:val="single" w:sz="4" w:space="0" w:color="auto"/>
              <w:right w:val="single" w:sz="4" w:space="0" w:color="auto"/>
            </w:tcBorders>
            <w:hideMark/>
          </w:tcPr>
          <w:p w:rsidR="00BE7F82" w:rsidRDefault="00BE7F82" w:rsidP="00492317">
            <w:pPr>
              <w:spacing w:line="276" w:lineRule="auto"/>
            </w:pPr>
            <w:r>
              <w:t xml:space="preserve">Post your Introduction in the Discussion that your instructor placed for you in Getting Started. </w:t>
            </w:r>
          </w:p>
          <w:p w:rsidR="00BE7F82" w:rsidRDefault="00BE7F82" w:rsidP="00492317">
            <w:pPr>
              <w:spacing w:line="276" w:lineRule="auto"/>
            </w:pPr>
            <w:r w:rsidRPr="006A73CE">
              <w:rPr>
                <w:b/>
                <w:highlight w:val="cyan"/>
              </w:rPr>
              <w:t>Tip</w:t>
            </w:r>
            <w:r w:rsidRPr="006A73CE">
              <w:rPr>
                <w:highlight w:val="cyan"/>
              </w:rPr>
              <w:t>:</w:t>
            </w:r>
            <w:r>
              <w:t xml:space="preserve"> In Course Orientation this is meant to be the last thing you do, not the only thing you do. You can earn 50 points and this is only 4 points.</w:t>
            </w:r>
          </w:p>
        </w:tc>
        <w:tc>
          <w:tcPr>
            <w:tcW w:w="801" w:type="dxa"/>
            <w:tcBorders>
              <w:top w:val="single" w:sz="4" w:space="0" w:color="auto"/>
              <w:left w:val="single" w:sz="4" w:space="0" w:color="auto"/>
              <w:bottom w:val="single" w:sz="4" w:space="0" w:color="auto"/>
              <w:right w:val="single" w:sz="4" w:space="0" w:color="auto"/>
            </w:tcBorders>
            <w:hideMark/>
          </w:tcPr>
          <w:p w:rsidR="00BE7F82" w:rsidRDefault="00BE7F82">
            <w:pPr>
              <w:spacing w:line="276" w:lineRule="auto"/>
            </w:pPr>
            <w:r>
              <w:t>4</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rsidP="00C574FE">
            <w:pPr>
              <w:spacing w:line="276" w:lineRule="auto"/>
            </w:pPr>
            <w:r>
              <w:t>7</w:t>
            </w:r>
          </w:p>
        </w:tc>
        <w:tc>
          <w:tcPr>
            <w:tcW w:w="12119" w:type="dxa"/>
            <w:tcBorders>
              <w:top w:val="single" w:sz="4" w:space="0" w:color="auto"/>
              <w:left w:val="nil"/>
              <w:bottom w:val="single" w:sz="4" w:space="0" w:color="auto"/>
              <w:right w:val="single" w:sz="4" w:space="0" w:color="auto"/>
            </w:tcBorders>
          </w:tcPr>
          <w:p w:rsidR="00BE7F82" w:rsidRPr="001466A4" w:rsidRDefault="00BE7F82"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1"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1" w:type="dxa"/>
            <w:tcBorders>
              <w:top w:val="single" w:sz="4" w:space="0" w:color="auto"/>
              <w:left w:val="single" w:sz="4" w:space="0" w:color="auto"/>
              <w:bottom w:val="single" w:sz="4" w:space="0" w:color="auto"/>
              <w:right w:val="single" w:sz="4" w:space="0" w:color="auto"/>
            </w:tcBorders>
          </w:tcPr>
          <w:p w:rsidR="00BE7F82" w:rsidRPr="00C574FE" w:rsidRDefault="00BE7F82" w:rsidP="001466A4">
            <w:pPr>
              <w:spacing w:line="276" w:lineRule="auto"/>
              <w:rPr>
                <w:b/>
              </w:rPr>
            </w:pPr>
            <w:r w:rsidRPr="00C574FE">
              <w:rPr>
                <w:b/>
                <w:color w:val="1F4E79" w:themeColor="accent1" w:themeShade="80"/>
              </w:rPr>
              <w:t>0</w:t>
            </w:r>
            <w:r w:rsidRPr="00C574FE">
              <w:rPr>
                <w:b/>
                <w:color w:val="7030A0"/>
              </w:rPr>
              <w:t xml:space="preserve"> </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rsidP="00C574FE">
            <w:pPr>
              <w:spacing w:line="276" w:lineRule="auto"/>
            </w:pPr>
            <w:r>
              <w:t>8</w:t>
            </w:r>
          </w:p>
        </w:tc>
        <w:tc>
          <w:tcPr>
            <w:tcW w:w="12119" w:type="dxa"/>
            <w:tcBorders>
              <w:top w:val="single" w:sz="4" w:space="0" w:color="auto"/>
              <w:left w:val="nil"/>
              <w:bottom w:val="single" w:sz="4" w:space="0" w:color="auto"/>
              <w:right w:val="single" w:sz="4" w:space="0" w:color="auto"/>
            </w:tcBorders>
          </w:tcPr>
          <w:p w:rsidR="00BE7F82" w:rsidRDefault="00BE7F82" w:rsidP="006A73CE">
            <w:pPr>
              <w:spacing w:line="276" w:lineRule="auto"/>
            </w:pPr>
            <w:r>
              <w:t>Make sure you prepare your computer using the tips in General Course Questions &amp; Repeated Announcements &amp; Tips. That post also tells you about your needing to get the required textbook and the required external webcam.</w:t>
            </w:r>
          </w:p>
        </w:tc>
        <w:tc>
          <w:tcPr>
            <w:tcW w:w="801" w:type="dxa"/>
            <w:tcBorders>
              <w:top w:val="single" w:sz="4" w:space="0" w:color="auto"/>
              <w:left w:val="single" w:sz="4" w:space="0" w:color="auto"/>
              <w:bottom w:val="single" w:sz="4" w:space="0" w:color="auto"/>
              <w:right w:val="single" w:sz="4" w:space="0" w:color="auto"/>
            </w:tcBorders>
          </w:tcPr>
          <w:p w:rsidR="00BE7F82" w:rsidRPr="00C574FE" w:rsidRDefault="00BE7F82" w:rsidP="001466A4">
            <w:pPr>
              <w:spacing w:line="276" w:lineRule="auto"/>
              <w:rPr>
                <w:b/>
                <w:color w:val="1F4E79" w:themeColor="accent1" w:themeShade="80"/>
              </w:rPr>
            </w:pPr>
            <w:r>
              <w:rPr>
                <w:b/>
                <w:color w:val="1F4E79" w:themeColor="accent1" w:themeShade="80"/>
              </w:rPr>
              <w:t>0</w:t>
            </w:r>
          </w:p>
        </w:tc>
      </w:tr>
      <w:tr w:rsidR="00BE7F82" w:rsidTr="003C4F00">
        <w:tc>
          <w:tcPr>
            <w:tcW w:w="419" w:type="dxa"/>
            <w:tcBorders>
              <w:top w:val="single" w:sz="4" w:space="0" w:color="auto"/>
              <w:left w:val="single" w:sz="4" w:space="0" w:color="auto"/>
              <w:bottom w:val="single" w:sz="4" w:space="0" w:color="auto"/>
              <w:right w:val="single" w:sz="4" w:space="0" w:color="auto"/>
            </w:tcBorders>
          </w:tcPr>
          <w:p w:rsidR="00BE7F82" w:rsidRDefault="00BE7F82">
            <w:pPr>
              <w:spacing w:line="276" w:lineRule="auto"/>
              <w:jc w:val="right"/>
              <w:rPr>
                <w:b/>
              </w:rPr>
            </w:pPr>
          </w:p>
        </w:tc>
        <w:tc>
          <w:tcPr>
            <w:tcW w:w="12119" w:type="dxa"/>
            <w:tcBorders>
              <w:top w:val="single" w:sz="4" w:space="0" w:color="auto"/>
              <w:left w:val="single" w:sz="4" w:space="0" w:color="auto"/>
              <w:bottom w:val="single" w:sz="4" w:space="0" w:color="auto"/>
              <w:right w:val="single" w:sz="4" w:space="0" w:color="auto"/>
            </w:tcBorders>
            <w:hideMark/>
          </w:tcPr>
          <w:p w:rsidR="00BE7F82" w:rsidRDefault="00BE7F82">
            <w:pPr>
              <w:spacing w:line="276" w:lineRule="auto"/>
              <w:jc w:val="right"/>
              <w:rPr>
                <w:b/>
              </w:rPr>
            </w:pPr>
            <w:r>
              <w:rPr>
                <w:b/>
              </w:rPr>
              <w:t xml:space="preserve">Total for this Section of the Course </w:t>
            </w:r>
          </w:p>
        </w:tc>
        <w:tc>
          <w:tcPr>
            <w:tcW w:w="801" w:type="dxa"/>
            <w:tcBorders>
              <w:top w:val="single" w:sz="4" w:space="0" w:color="auto"/>
              <w:left w:val="single" w:sz="4" w:space="0" w:color="auto"/>
              <w:bottom w:val="single" w:sz="4" w:space="0" w:color="auto"/>
              <w:right w:val="single" w:sz="4" w:space="0" w:color="auto"/>
            </w:tcBorders>
            <w:hideMark/>
          </w:tcPr>
          <w:p w:rsidR="00BE7F82" w:rsidRDefault="00BE7F82">
            <w:pPr>
              <w:spacing w:line="276" w:lineRule="auto"/>
            </w:pPr>
            <w:r>
              <w:fldChar w:fldCharType="begin"/>
            </w:r>
            <w:r>
              <w:instrText xml:space="preserve"> =SUM(ABOVE) </w:instrText>
            </w:r>
            <w:r>
              <w:fldChar w:fldCharType="separate"/>
            </w:r>
            <w:r>
              <w:rPr>
                <w:noProof/>
              </w:rPr>
              <w:t>50</w:t>
            </w:r>
            <w:r>
              <w:fldChar w:fldCharType="end"/>
            </w:r>
          </w:p>
        </w:tc>
      </w:tr>
    </w:tbl>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2FFE7071"/>
    <w:multiLevelType w:val="hybridMultilevel"/>
    <w:tmpl w:val="ED0A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37C30"/>
    <w:multiLevelType w:val="hybridMultilevel"/>
    <w:tmpl w:val="235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92339"/>
    <w:multiLevelType w:val="hybridMultilevel"/>
    <w:tmpl w:val="E7E26D90"/>
    <w:lvl w:ilvl="0" w:tplc="20B04B0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7F015B"/>
    <w:multiLevelType w:val="hybridMultilevel"/>
    <w:tmpl w:val="3CDC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0"/>
  </w:num>
  <w:num w:numId="6">
    <w:abstractNumId w:val="1"/>
  </w:num>
  <w:num w:numId="7">
    <w:abstractNumId w:val="1"/>
  </w:num>
  <w:num w:numId="8">
    <w:abstractNumId w:val="14"/>
  </w:num>
  <w:num w:numId="9">
    <w:abstractNumId w:val="1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21"/>
  </w:num>
  <w:num w:numId="13">
    <w:abstractNumId w:val="20"/>
  </w:num>
  <w:num w:numId="14">
    <w:abstractNumId w:val="24"/>
  </w:num>
  <w:num w:numId="15">
    <w:abstractNumId w:val="10"/>
  </w:num>
  <w:num w:numId="16">
    <w:abstractNumId w:val="7"/>
  </w:num>
  <w:num w:numId="17">
    <w:abstractNumId w:val="3"/>
  </w:num>
  <w:num w:numId="18">
    <w:abstractNumId w:val="6"/>
  </w:num>
  <w:num w:numId="19">
    <w:abstractNumId w:val="23"/>
  </w:num>
  <w:num w:numId="20">
    <w:abstractNumId w:val="11"/>
  </w:num>
  <w:num w:numId="21">
    <w:abstractNumId w:val="5"/>
  </w:num>
  <w:num w:numId="22">
    <w:abstractNumId w:val="9"/>
  </w:num>
  <w:num w:numId="23">
    <w:abstractNumId w:val="12"/>
  </w:num>
  <w:num w:numId="24">
    <w:abstractNumId w:val="15"/>
  </w:num>
  <w:num w:numId="25">
    <w:abstractNumId w:val="13"/>
  </w:num>
  <w:num w:numId="26">
    <w:abstractNumId w:val="26"/>
  </w:num>
  <w:num w:numId="27">
    <w:abstractNumId w:val="2"/>
  </w:num>
  <w:num w:numId="28">
    <w:abstractNumId w:val="19"/>
  </w:num>
  <w:num w:numId="29">
    <w:abstractNumId w:val="25"/>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26F52"/>
    <w:rsid w:val="00031FD2"/>
    <w:rsid w:val="00047BD0"/>
    <w:rsid w:val="00050D19"/>
    <w:rsid w:val="00057304"/>
    <w:rsid w:val="00062AD8"/>
    <w:rsid w:val="00071B0A"/>
    <w:rsid w:val="00075D61"/>
    <w:rsid w:val="000803F6"/>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4120B"/>
    <w:rsid w:val="001466A4"/>
    <w:rsid w:val="0015728B"/>
    <w:rsid w:val="00180416"/>
    <w:rsid w:val="001D7C71"/>
    <w:rsid w:val="001E493B"/>
    <w:rsid w:val="0021602C"/>
    <w:rsid w:val="00226EDA"/>
    <w:rsid w:val="00230454"/>
    <w:rsid w:val="00246400"/>
    <w:rsid w:val="00253E9C"/>
    <w:rsid w:val="00267177"/>
    <w:rsid w:val="00274652"/>
    <w:rsid w:val="00277F37"/>
    <w:rsid w:val="00284DD4"/>
    <w:rsid w:val="002B6EB7"/>
    <w:rsid w:val="002C7916"/>
    <w:rsid w:val="002D324D"/>
    <w:rsid w:val="002E06F0"/>
    <w:rsid w:val="002E7AF1"/>
    <w:rsid w:val="002E7FFB"/>
    <w:rsid w:val="002F13B3"/>
    <w:rsid w:val="002F79AF"/>
    <w:rsid w:val="002F7ED1"/>
    <w:rsid w:val="003011DC"/>
    <w:rsid w:val="00304311"/>
    <w:rsid w:val="00305647"/>
    <w:rsid w:val="00311832"/>
    <w:rsid w:val="00332303"/>
    <w:rsid w:val="00343F5F"/>
    <w:rsid w:val="003473AD"/>
    <w:rsid w:val="003761CA"/>
    <w:rsid w:val="00376367"/>
    <w:rsid w:val="00376622"/>
    <w:rsid w:val="003A0709"/>
    <w:rsid w:val="003C3626"/>
    <w:rsid w:val="003C4F00"/>
    <w:rsid w:val="003D72AF"/>
    <w:rsid w:val="004023BE"/>
    <w:rsid w:val="0041740F"/>
    <w:rsid w:val="004261B4"/>
    <w:rsid w:val="00441023"/>
    <w:rsid w:val="004516A4"/>
    <w:rsid w:val="004564D1"/>
    <w:rsid w:val="004774BD"/>
    <w:rsid w:val="00492317"/>
    <w:rsid w:val="004A232E"/>
    <w:rsid w:val="004C0004"/>
    <w:rsid w:val="004C1FB8"/>
    <w:rsid w:val="004D6517"/>
    <w:rsid w:val="00533D01"/>
    <w:rsid w:val="00556978"/>
    <w:rsid w:val="0058708C"/>
    <w:rsid w:val="0059390C"/>
    <w:rsid w:val="005A353B"/>
    <w:rsid w:val="005A4B6D"/>
    <w:rsid w:val="005A770D"/>
    <w:rsid w:val="005A7D78"/>
    <w:rsid w:val="005B413B"/>
    <w:rsid w:val="005B5847"/>
    <w:rsid w:val="005B677A"/>
    <w:rsid w:val="005E07B3"/>
    <w:rsid w:val="005E1FFC"/>
    <w:rsid w:val="005F4251"/>
    <w:rsid w:val="00600045"/>
    <w:rsid w:val="00602F1E"/>
    <w:rsid w:val="00605BCC"/>
    <w:rsid w:val="00632795"/>
    <w:rsid w:val="00641771"/>
    <w:rsid w:val="006545BF"/>
    <w:rsid w:val="00655323"/>
    <w:rsid w:val="00661F34"/>
    <w:rsid w:val="00676498"/>
    <w:rsid w:val="006805C3"/>
    <w:rsid w:val="006A73CE"/>
    <w:rsid w:val="006B6232"/>
    <w:rsid w:val="006C6DAB"/>
    <w:rsid w:val="006E6082"/>
    <w:rsid w:val="006F2D21"/>
    <w:rsid w:val="00706E4A"/>
    <w:rsid w:val="0071426D"/>
    <w:rsid w:val="00715E0F"/>
    <w:rsid w:val="0072488F"/>
    <w:rsid w:val="00736500"/>
    <w:rsid w:val="00743F1E"/>
    <w:rsid w:val="00745E98"/>
    <w:rsid w:val="00772262"/>
    <w:rsid w:val="00772A21"/>
    <w:rsid w:val="00777100"/>
    <w:rsid w:val="007919F4"/>
    <w:rsid w:val="00792F9A"/>
    <w:rsid w:val="007A1078"/>
    <w:rsid w:val="007A4517"/>
    <w:rsid w:val="007C1239"/>
    <w:rsid w:val="007C214E"/>
    <w:rsid w:val="007C370B"/>
    <w:rsid w:val="007E78F7"/>
    <w:rsid w:val="008069AE"/>
    <w:rsid w:val="00824851"/>
    <w:rsid w:val="0082553F"/>
    <w:rsid w:val="0083189F"/>
    <w:rsid w:val="00837E3A"/>
    <w:rsid w:val="00845C8E"/>
    <w:rsid w:val="00866BE3"/>
    <w:rsid w:val="008707B6"/>
    <w:rsid w:val="0088120F"/>
    <w:rsid w:val="008A1AA5"/>
    <w:rsid w:val="008A2D84"/>
    <w:rsid w:val="008B3E53"/>
    <w:rsid w:val="008D3EA3"/>
    <w:rsid w:val="00900A4F"/>
    <w:rsid w:val="00914CEB"/>
    <w:rsid w:val="009278C5"/>
    <w:rsid w:val="0094110D"/>
    <w:rsid w:val="009530D9"/>
    <w:rsid w:val="00955DD2"/>
    <w:rsid w:val="00971477"/>
    <w:rsid w:val="009906DC"/>
    <w:rsid w:val="00997EF8"/>
    <w:rsid w:val="009C0A22"/>
    <w:rsid w:val="009C7B25"/>
    <w:rsid w:val="009E2D6A"/>
    <w:rsid w:val="009F0AD2"/>
    <w:rsid w:val="009F5CF9"/>
    <w:rsid w:val="00A15C7B"/>
    <w:rsid w:val="00A26E4C"/>
    <w:rsid w:val="00A30FE0"/>
    <w:rsid w:val="00A3357A"/>
    <w:rsid w:val="00A35CE9"/>
    <w:rsid w:val="00A408FB"/>
    <w:rsid w:val="00A5144F"/>
    <w:rsid w:val="00A65D0F"/>
    <w:rsid w:val="00A66F4C"/>
    <w:rsid w:val="00A746AD"/>
    <w:rsid w:val="00A74E3D"/>
    <w:rsid w:val="00A7511F"/>
    <w:rsid w:val="00A76582"/>
    <w:rsid w:val="00A858BC"/>
    <w:rsid w:val="00B06EC3"/>
    <w:rsid w:val="00B27E19"/>
    <w:rsid w:val="00B33ED7"/>
    <w:rsid w:val="00B56FEF"/>
    <w:rsid w:val="00B74875"/>
    <w:rsid w:val="00B85E7D"/>
    <w:rsid w:val="00B91810"/>
    <w:rsid w:val="00B92A02"/>
    <w:rsid w:val="00BB0B0E"/>
    <w:rsid w:val="00BB2B26"/>
    <w:rsid w:val="00BC7158"/>
    <w:rsid w:val="00BD0894"/>
    <w:rsid w:val="00BE2C82"/>
    <w:rsid w:val="00BE7F82"/>
    <w:rsid w:val="00C25A4C"/>
    <w:rsid w:val="00C32869"/>
    <w:rsid w:val="00C574FE"/>
    <w:rsid w:val="00C76F73"/>
    <w:rsid w:val="00C8309A"/>
    <w:rsid w:val="00C835BC"/>
    <w:rsid w:val="00C91B9F"/>
    <w:rsid w:val="00CE6AD6"/>
    <w:rsid w:val="00D1566C"/>
    <w:rsid w:val="00D20655"/>
    <w:rsid w:val="00D32811"/>
    <w:rsid w:val="00D4351A"/>
    <w:rsid w:val="00D540BB"/>
    <w:rsid w:val="00D61ACB"/>
    <w:rsid w:val="00D77CAB"/>
    <w:rsid w:val="00D84DF3"/>
    <w:rsid w:val="00DB3E0E"/>
    <w:rsid w:val="00DB746D"/>
    <w:rsid w:val="00DC16A3"/>
    <w:rsid w:val="00DE5D76"/>
    <w:rsid w:val="00E13801"/>
    <w:rsid w:val="00E1792E"/>
    <w:rsid w:val="00E25781"/>
    <w:rsid w:val="00E31627"/>
    <w:rsid w:val="00E61640"/>
    <w:rsid w:val="00E63C1E"/>
    <w:rsid w:val="00E64857"/>
    <w:rsid w:val="00E74F2C"/>
    <w:rsid w:val="00E866AF"/>
    <w:rsid w:val="00EA151A"/>
    <w:rsid w:val="00EA59A9"/>
    <w:rsid w:val="00ED147A"/>
    <w:rsid w:val="00ED4E45"/>
    <w:rsid w:val="00ED5C03"/>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C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hyperlink" Target="https://wcjc.blackboard.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C809-0E1D-46B7-874B-089F815A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TotalTime>
  <Pages>5</Pages>
  <Words>1460</Words>
  <Characters>8326</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Course Orientation – Key Pages &amp; the List of Tasks You Do for Points in Getting </vt:lpstr>
      <vt:lpstr>        What Are the Tasks You Need to Do for the 50 Points and to Figure Out How This C</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2020-04-04T14:59:00Z</cp:lastPrinted>
  <dcterms:created xsi:type="dcterms:W3CDTF">2020-04-04T14:59:00Z</dcterms:created>
  <dcterms:modified xsi:type="dcterms:W3CDTF">2020-04-04T15:01:00Z</dcterms:modified>
</cp:coreProperties>
</file>