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D6" w:rsidRPr="00BC38D6" w:rsidRDefault="00BC38D6" w:rsidP="00BC38D6">
      <w:pPr>
        <w:rPr>
          <w:sz w:val="4"/>
          <w:szCs w:val="4"/>
        </w:rPr>
      </w:pPr>
    </w:p>
    <w:p w:rsidR="00861F8A" w:rsidRDefault="00861F8A" w:rsidP="002831AD">
      <w:pPr>
        <w:pStyle w:val="Heading2"/>
        <w:rPr>
          <w:rFonts w:eastAsia="Times New Roman"/>
        </w:rPr>
      </w:pPr>
      <w:bookmarkStart w:id="0" w:name="_Toc477687432"/>
      <w:r>
        <w:rPr>
          <w:rFonts w:eastAsia="Times New Roman"/>
        </w:rPr>
        <w:t>How “Pathway” Courses Save Time and Result in Higher Grades</w:t>
      </w:r>
      <w:bookmarkEnd w:id="0"/>
    </w:p>
    <w:p w:rsidR="007F1CD7" w:rsidRDefault="007F1CD7" w:rsidP="007F1C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“pathway” course is </w:t>
      </w:r>
      <w:r w:rsidRPr="002831AD">
        <w:rPr>
          <w:rFonts w:eastAsia="Times New Roman"/>
          <w:b/>
        </w:rPr>
        <w:t>one of two</w:t>
      </w:r>
      <w:r>
        <w:rPr>
          <w:rFonts w:eastAsia="Times New Roman"/>
        </w:rPr>
        <w:t xml:space="preserve"> broad types of distance learning courses that the Distance Learning Department encourages faculty to use. A “pathway” course is not organized by the Blackboard tools you use, but by what </w:t>
      </w:r>
      <w:r w:rsidRPr="00A42F15">
        <w:rPr>
          <w:rFonts w:eastAsia="Times New Roman"/>
          <w:b/>
        </w:rPr>
        <w:t>you</w:t>
      </w:r>
      <w:r>
        <w:rPr>
          <w:rFonts w:eastAsia="Times New Roman"/>
        </w:rPr>
        <w:t xml:space="preserve"> are trying to</w:t>
      </w:r>
      <w:r w:rsidRPr="00A42F15">
        <w:rPr>
          <w:rFonts w:eastAsia="Times New Roman"/>
          <w:b/>
        </w:rPr>
        <w:t xml:space="preserve"> do</w:t>
      </w:r>
      <w:r>
        <w:rPr>
          <w:rFonts w:eastAsia="Times New Roman"/>
        </w:rPr>
        <w:t xml:space="preserve">. </w:t>
      </w:r>
      <w:r w:rsidRPr="002831AD">
        <w:rPr>
          <w:rFonts w:eastAsia="Times New Roman"/>
          <w:b/>
        </w:rPr>
        <w:t>Everything you need to succeed with an assignment is in one place.</w:t>
      </w:r>
    </w:p>
    <w:p w:rsidR="002831AD" w:rsidRDefault="007F1CD7" w:rsidP="002831AD">
      <w:pPr>
        <w:pStyle w:val="Heading3"/>
        <w:rPr>
          <w:rFonts w:eastAsia="Times New Roman"/>
        </w:rPr>
      </w:pPr>
      <w:r w:rsidRPr="00BC38D6">
        <w:rPr>
          <w:rFonts w:eastAsia="Times New Roman"/>
        </w:rPr>
        <w:t>Example</w:t>
      </w:r>
      <w:r>
        <w:rPr>
          <w:rFonts w:eastAsia="Times New Roman"/>
        </w:rPr>
        <w:t xml:space="preserve"> of H</w:t>
      </w:r>
      <w:r w:rsidRPr="00BC38D6">
        <w:rPr>
          <w:rFonts w:eastAsia="Times New Roman"/>
        </w:rPr>
        <w:t xml:space="preserve">ow </w:t>
      </w:r>
      <w:r>
        <w:rPr>
          <w:rFonts w:eastAsia="Times New Roman"/>
        </w:rPr>
        <w:t xml:space="preserve">Using </w:t>
      </w:r>
      <w:r w:rsidRPr="00BC38D6">
        <w:rPr>
          <w:rFonts w:eastAsia="Times New Roman"/>
        </w:rPr>
        <w:t>a “Pathway” Course Can Save Time</w:t>
      </w:r>
      <w:r>
        <w:rPr>
          <w:rFonts w:eastAsia="Times New Roman"/>
        </w:rPr>
        <w:t xml:space="preserve"> and Result in a Higher Grade Because of Few Errors</w:t>
      </w:r>
    </w:p>
    <w:p w:rsidR="002831AD" w:rsidRDefault="002831AD" w:rsidP="007F1CD7">
      <w:pPr>
        <w:spacing w:after="0" w:line="240" w:lineRule="auto"/>
        <w:rPr>
          <w:rFonts w:eastAsia="Times New Roman"/>
        </w:rPr>
      </w:pPr>
      <w:r w:rsidRPr="002831AD">
        <w:rPr>
          <w:rFonts w:eastAsia="Times New Roman"/>
          <w:b/>
        </w:rPr>
        <w:t>At the top of the Unit</w:t>
      </w:r>
      <w:r>
        <w:rPr>
          <w:rFonts w:eastAsia="Times New Roman"/>
        </w:rPr>
        <w:t xml:space="preserve"> you find an Overview and Checklist for the unit and a Study Guide. The Study Guide tells you everything in the Lessons in the Unit that are on the objective exam. </w:t>
      </w:r>
    </w:p>
    <w:p w:rsidR="002831AD" w:rsidRDefault="002831AD" w:rsidP="007F1CD7">
      <w:pPr>
        <w:spacing w:after="0" w:line="240" w:lineRule="auto"/>
        <w:rPr>
          <w:rFonts w:eastAsia="Times New Roman"/>
        </w:rPr>
      </w:pPr>
    </w:p>
    <w:p w:rsidR="002831AD" w:rsidRDefault="002831AD" w:rsidP="007F1CD7">
      <w:pPr>
        <w:spacing w:after="0" w:line="240" w:lineRule="auto"/>
        <w:rPr>
          <w:rFonts w:eastAsia="Times New Roman"/>
        </w:rPr>
      </w:pPr>
      <w:r w:rsidRPr="002831AD">
        <w:rPr>
          <w:rFonts w:eastAsia="Times New Roman"/>
          <w:b/>
        </w:rPr>
        <w:t>At the middle of the Unit</w:t>
      </w:r>
      <w:r>
        <w:rPr>
          <w:rFonts w:eastAsia="Times New Roman"/>
        </w:rPr>
        <w:t>, you find Lessons on key issues in the period. Each Lesson includes:</w:t>
      </w:r>
    </w:p>
    <w:p w:rsidR="002831AD" w:rsidRDefault="002831AD" w:rsidP="002831A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2831AD">
        <w:rPr>
          <w:rFonts w:eastAsia="Times New Roman"/>
        </w:rPr>
        <w:t>A link to help you teach yourself. That link provides related links to help; read what is provided in the link</w:t>
      </w:r>
      <w:r w:rsidRPr="002831AD">
        <w:rPr>
          <w:rFonts w:eastAsia="Times New Roman"/>
          <w:b/>
        </w:rPr>
        <w:t xml:space="preserve"> before</w:t>
      </w:r>
      <w:r w:rsidRPr="002831AD">
        <w:rPr>
          <w:rFonts w:eastAsia="Times New Roman"/>
        </w:rPr>
        <w:t xml:space="preserve"> you click</w:t>
      </w:r>
      <w:r>
        <w:rPr>
          <w:rFonts w:eastAsia="Times New Roman"/>
        </w:rPr>
        <w:t xml:space="preserve"> on it</w:t>
      </w:r>
      <w:r w:rsidRPr="002831AD">
        <w:rPr>
          <w:rFonts w:eastAsia="Times New Roman"/>
        </w:rPr>
        <w:t>.</w:t>
      </w:r>
    </w:p>
    <w:p w:rsidR="002831AD" w:rsidRDefault="002831AD" w:rsidP="007F1C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2831AD">
        <w:rPr>
          <w:rFonts w:eastAsia="Times New Roman"/>
        </w:rPr>
        <w:t>Learning Quizzes to let you figure out what you already know and what you do not know. After you take the Self-Test, you can take the Full-Test as many times as you want wi</w:t>
      </w:r>
      <w:r>
        <w:rPr>
          <w:rFonts w:eastAsia="Times New Roman"/>
        </w:rPr>
        <w:t xml:space="preserve">th the highest score counting. </w:t>
      </w:r>
      <w:r w:rsidRPr="002831AD">
        <w:rPr>
          <w:rFonts w:eastAsia="Times New Roman"/>
        </w:rPr>
        <w:t xml:space="preserve">30% of the objective exam is from those Learning Quizzes. </w:t>
      </w:r>
    </w:p>
    <w:p w:rsidR="002831AD" w:rsidRPr="002831AD" w:rsidRDefault="002831AD" w:rsidP="007F1C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2831AD">
        <w:rPr>
          <w:rFonts w:eastAsia="Times New Roman"/>
        </w:rPr>
        <w:t xml:space="preserve">The remaining questions are from the link at the top of the lesson and to help be sure you are covering everything you have a Unit Study Guide that lists items required in the Lesson. </w:t>
      </w:r>
      <w:r>
        <w:rPr>
          <w:rFonts w:eastAsia="Times New Roman"/>
        </w:rPr>
        <w:t>They are general questions as indicated by the Study Guide—you do not have to know everything, but you do have to prove you know something.</w:t>
      </w:r>
    </w:p>
    <w:p w:rsidR="002831AD" w:rsidRDefault="002831AD" w:rsidP="007F1CD7">
      <w:pPr>
        <w:spacing w:after="0" w:line="240" w:lineRule="auto"/>
        <w:rPr>
          <w:rFonts w:eastAsia="Times New Roman"/>
        </w:rPr>
      </w:pPr>
    </w:p>
    <w:p w:rsidR="00BC38D6" w:rsidRDefault="002831AD" w:rsidP="00915980">
      <w:pPr>
        <w:spacing w:after="0" w:line="240" w:lineRule="auto"/>
        <w:rPr>
          <w:rFonts w:eastAsia="Times New Roman"/>
        </w:rPr>
      </w:pPr>
      <w:r w:rsidRPr="002831AD">
        <w:rPr>
          <w:rFonts w:eastAsia="Times New Roman"/>
          <w:b/>
        </w:rPr>
        <w:t>At the bottom of the Unit,</w:t>
      </w:r>
      <w:r>
        <w:rPr>
          <w:rFonts w:eastAsia="Times New Roman"/>
        </w:rPr>
        <w:t xml:space="preserve"> if you cannot find something in a Learning Quizzes or on the Study Guide, you also have the Learning Discussion for that Unit at the bottom of that Unit and can post a question on what you need. At the date listed in the Course Schedule (if you have met Distance Education’s requirements for Respondus Monitor)</w:t>
      </w:r>
      <w:bookmarkStart w:id="1" w:name="_GoBack"/>
      <w:bookmarkEnd w:id="1"/>
      <w:r>
        <w:rPr>
          <w:rFonts w:eastAsia="Times New Roman"/>
        </w:rPr>
        <w:t>, you also see the Unit Objective Exam.</w:t>
      </w:r>
    </w:p>
    <w:p w:rsidR="002831AD" w:rsidRDefault="00BC38D6" w:rsidP="002831AD">
      <w:pPr>
        <w:pStyle w:val="Heading3"/>
        <w:rPr>
          <w:rFonts w:eastAsia="Times New Roman"/>
        </w:rPr>
      </w:pPr>
      <w:r w:rsidRPr="00BC38D6">
        <w:rPr>
          <w:rFonts w:eastAsia="Times New Roman"/>
        </w:rPr>
        <w:t>Example of How Not Using the P</w:t>
      </w:r>
      <w:r>
        <w:rPr>
          <w:rFonts w:eastAsia="Times New Roman"/>
        </w:rPr>
        <w:t>ath Can Waste T</w:t>
      </w:r>
      <w:r w:rsidR="002831AD">
        <w:rPr>
          <w:rFonts w:eastAsia="Times New Roman"/>
        </w:rPr>
        <w:t>ime and Result in a Lower Grade</w:t>
      </w:r>
    </w:p>
    <w:p w:rsidR="00915980" w:rsidRDefault="00BC38D6" w:rsidP="002831A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Students </w:t>
      </w:r>
      <w:r w:rsidRPr="002831AD">
        <w:rPr>
          <w:rFonts w:eastAsia="Times New Roman"/>
        </w:rPr>
        <w:t>w</w:t>
      </w:r>
      <w:r>
        <w:rPr>
          <w:rFonts w:eastAsia="Times New Roman"/>
        </w:rPr>
        <w:t>ho just</w:t>
      </w:r>
      <w:r w:rsidR="005D4E89">
        <w:rPr>
          <w:rFonts w:eastAsia="Times New Roman"/>
        </w:rPr>
        <w:t xml:space="preserve"> click on</w:t>
      </w:r>
      <w:r w:rsidR="002831AD">
        <w:rPr>
          <w:rFonts w:eastAsia="Times New Roman"/>
        </w:rPr>
        <w:t xml:space="preserve"> a Quiz or on </w:t>
      </w:r>
      <w:r w:rsidR="005D4E89">
        <w:rPr>
          <w:rFonts w:eastAsia="Times New Roman"/>
        </w:rPr>
        <w:t xml:space="preserve">the Unit 1 Objective Exam </w:t>
      </w:r>
      <w:r>
        <w:rPr>
          <w:rFonts w:eastAsia="Times New Roman"/>
        </w:rPr>
        <w:t xml:space="preserve">through one of the shortcuts Blackboard provides usually fail. </w:t>
      </w:r>
      <w:r w:rsidR="00915980">
        <w:rPr>
          <w:rFonts w:eastAsia="Times New Roman"/>
        </w:rPr>
        <w:t>T</w:t>
      </w:r>
      <w:r>
        <w:rPr>
          <w:rFonts w:eastAsia="Times New Roman"/>
        </w:rPr>
        <w:t>hey do not</w:t>
      </w:r>
      <w:r w:rsidR="00915980">
        <w:rPr>
          <w:rFonts w:eastAsia="Times New Roman"/>
        </w:rPr>
        <w:t xml:space="preserve"> realize </w:t>
      </w:r>
      <w:r w:rsidR="002831AD">
        <w:rPr>
          <w:rFonts w:eastAsia="Times New Roman"/>
        </w:rPr>
        <w:t>that a pathway course provided everything you need when you</w:t>
      </w:r>
      <w:r>
        <w:rPr>
          <w:rFonts w:eastAsia="Times New Roman"/>
        </w:rPr>
        <w:t xml:space="preserve"> stayed on the “path</w:t>
      </w:r>
      <w:r w:rsidR="00915980">
        <w:rPr>
          <w:rFonts w:eastAsia="Times New Roman"/>
        </w:rPr>
        <w:t>”</w:t>
      </w:r>
      <w:r>
        <w:rPr>
          <w:rFonts w:eastAsia="Times New Roman"/>
        </w:rPr>
        <w:t xml:space="preserve"> from the top of a Unit to the bottom.</w:t>
      </w:r>
    </w:p>
    <w:p w:rsidR="00CE102D" w:rsidRDefault="00A9654C" w:rsidP="00496EC0">
      <w:pPr>
        <w:pStyle w:val="Heading3"/>
        <w:rPr>
          <w:rFonts w:eastAsia="Times New Roman"/>
        </w:rPr>
      </w:pPr>
      <w:bookmarkStart w:id="2" w:name="_Toc477687433"/>
      <w:r>
        <w:rPr>
          <w:rFonts w:eastAsia="Times New Roman"/>
        </w:rPr>
        <w:t>How to Enter Your Blackboard Course and Stay on the “Path”</w:t>
      </w:r>
      <w:bookmarkEnd w:id="2"/>
    </w:p>
    <w:p w:rsidR="00C110C7" w:rsidRPr="00915980" w:rsidRDefault="00A9654C" w:rsidP="00CB785A">
      <w:pPr>
        <w:rPr>
          <w:rFonts w:eastAsia="Times New Roman"/>
        </w:rPr>
      </w:pPr>
      <w:r>
        <w:rPr>
          <w:rFonts w:eastAsia="Times New Roman"/>
        </w:rPr>
        <w:t xml:space="preserve">Once in Blackboard, enter your course by clicking on it under the Course List—and </w:t>
      </w:r>
      <w:r w:rsidRPr="006946B9">
        <w:rPr>
          <w:rFonts w:eastAsia="Times New Roman"/>
          <w:b/>
        </w:rPr>
        <w:t>no</w:t>
      </w:r>
      <w:r>
        <w:rPr>
          <w:rFonts w:eastAsia="Times New Roman"/>
        </w:rPr>
        <w:t xml:space="preserve"> other way</w:t>
      </w:r>
      <w:r w:rsidR="00FC0A23" w:rsidRPr="00861F8A">
        <w:rPr>
          <w:b/>
          <w:i/>
          <w:noProof/>
          <w:shd w:val="clear" w:color="auto" w:fill="FFC000"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0C7" w:rsidRPr="0091598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97D89"/>
    <w:multiLevelType w:val="hybridMultilevel"/>
    <w:tmpl w:val="845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0D97"/>
    <w:rsid w:val="000731AB"/>
    <w:rsid w:val="000C0D93"/>
    <w:rsid w:val="000C13B1"/>
    <w:rsid w:val="000C456F"/>
    <w:rsid w:val="000C7317"/>
    <w:rsid w:val="000F13C4"/>
    <w:rsid w:val="00127F78"/>
    <w:rsid w:val="00140369"/>
    <w:rsid w:val="00180D96"/>
    <w:rsid w:val="001A3A51"/>
    <w:rsid w:val="001A5CC1"/>
    <w:rsid w:val="001C45EB"/>
    <w:rsid w:val="001C6909"/>
    <w:rsid w:val="001D2CE9"/>
    <w:rsid w:val="001D6F24"/>
    <w:rsid w:val="00217D74"/>
    <w:rsid w:val="00243284"/>
    <w:rsid w:val="00250817"/>
    <w:rsid w:val="002831AD"/>
    <w:rsid w:val="00292C1C"/>
    <w:rsid w:val="002A1F4F"/>
    <w:rsid w:val="002B0959"/>
    <w:rsid w:val="00311BA2"/>
    <w:rsid w:val="00312CB8"/>
    <w:rsid w:val="003A72C8"/>
    <w:rsid w:val="003B0A55"/>
    <w:rsid w:val="0042009A"/>
    <w:rsid w:val="00477E86"/>
    <w:rsid w:val="00496EC0"/>
    <w:rsid w:val="004A5708"/>
    <w:rsid w:val="004D237C"/>
    <w:rsid w:val="004E244D"/>
    <w:rsid w:val="00586731"/>
    <w:rsid w:val="005C5B62"/>
    <w:rsid w:val="005D4E89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7D4AC9"/>
    <w:rsid w:val="007F1CD7"/>
    <w:rsid w:val="00826238"/>
    <w:rsid w:val="00861F8A"/>
    <w:rsid w:val="008733E7"/>
    <w:rsid w:val="00887E13"/>
    <w:rsid w:val="008E2CF3"/>
    <w:rsid w:val="008F47F2"/>
    <w:rsid w:val="00915980"/>
    <w:rsid w:val="009313DB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04701"/>
    <w:rsid w:val="00B31950"/>
    <w:rsid w:val="00B742A0"/>
    <w:rsid w:val="00B86196"/>
    <w:rsid w:val="00BC38D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45B60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861B-172C-4DBE-8FB2-689E70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3695-4C5B-45C7-8899-C97C24FD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63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10</cp:revision>
  <cp:lastPrinted>2017-09-23T14:59:00Z</cp:lastPrinted>
  <dcterms:created xsi:type="dcterms:W3CDTF">2017-01-22T17:51:00Z</dcterms:created>
  <dcterms:modified xsi:type="dcterms:W3CDTF">2017-09-23T15:09:00Z</dcterms:modified>
</cp:coreProperties>
</file>