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254205" w:rsidP="0088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Written Assignment</w:t>
            </w:r>
            <w:r w:rsidR="006C58D4">
              <w:rPr>
                <w:sz w:val="20"/>
                <w:szCs w:val="20"/>
              </w:rPr>
              <w:t xml:space="preserve">___ out of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repeated some of the facts necessary for the answer, but did not demonstrate understanding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most of the facts necessary for the answer and demonstrated understanding of some of them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90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facts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necessary for the answer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demonstrated understanding of all of them.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CD16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assumptions. Used "" inaccurately and changed meaning. Did not answer all parts of the question.  </w:t>
            </w:r>
            <w:r w:rsidR="00CD1604">
              <w:rPr>
                <w:rFonts w:ascii="Calibri" w:hAnsi="Calibri"/>
                <w:color w:val="000000"/>
                <w:sz w:val="16"/>
                <w:szCs w:val="16"/>
              </w:rPr>
              <w:t>Citation not required, but able to provide the exact page number for each fact if requested.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ummarized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facts as is from the textbook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7" w:type="dxa"/>
          </w:tcPr>
          <w:p w:rsidR="004C77EF" w:rsidRDefault="00E23A07" w:rsidP="00E23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some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 facts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in a way that would help another student understand the content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 Provided few examples.</w:t>
            </w:r>
          </w:p>
        </w:tc>
        <w:tc>
          <w:tcPr>
            <w:tcW w:w="1990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the facts in a way that would help another student understand the content.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Default="0065572C" w:rsidP="0065572C">
      <w:pPr>
        <w:pStyle w:val="ListParagraph"/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>If you had marks in the “D” and “F” columns and if you do not change your habits for working with evidence for future Comparison</w:t>
      </w:r>
      <w:r w:rsidR="0088732C">
        <w:t>s, then your grade will decline because the value for these writing assignments increase</w:t>
      </w:r>
      <w:r>
        <w:t xml:space="preserve">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01" w:rsidRDefault="00DF6E01" w:rsidP="00C27B4A">
      <w:r>
        <w:separator/>
      </w:r>
    </w:p>
  </w:endnote>
  <w:endnote w:type="continuationSeparator" w:id="0">
    <w:p w:rsidR="00DF6E01" w:rsidRDefault="00DF6E01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01" w:rsidRDefault="00DF6E01" w:rsidP="00C27B4A">
      <w:r>
        <w:separator/>
      </w:r>
    </w:p>
  </w:footnote>
  <w:footnote w:type="continuationSeparator" w:id="0">
    <w:p w:rsidR="00DF6E01" w:rsidRDefault="00DF6E01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54205"/>
    <w:rsid w:val="00272E20"/>
    <w:rsid w:val="00286E2D"/>
    <w:rsid w:val="002B72AA"/>
    <w:rsid w:val="002C1384"/>
    <w:rsid w:val="002C4A67"/>
    <w:rsid w:val="002E0153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B1C07"/>
    <w:rsid w:val="004C77EF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0EF8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415D4"/>
    <w:rsid w:val="00841B02"/>
    <w:rsid w:val="008512F2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23E1B"/>
    <w:rsid w:val="00B41696"/>
    <w:rsid w:val="00B70574"/>
    <w:rsid w:val="00B72E08"/>
    <w:rsid w:val="00B76977"/>
    <w:rsid w:val="00B97B4C"/>
    <w:rsid w:val="00BE0092"/>
    <w:rsid w:val="00C001F4"/>
    <w:rsid w:val="00C17032"/>
    <w:rsid w:val="00C27B4A"/>
    <w:rsid w:val="00C31B4A"/>
    <w:rsid w:val="00C3686B"/>
    <w:rsid w:val="00C4075C"/>
    <w:rsid w:val="00C71A3E"/>
    <w:rsid w:val="00C82EDD"/>
    <w:rsid w:val="00CC459D"/>
    <w:rsid w:val="00CD1604"/>
    <w:rsid w:val="00CD1660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DF6E01"/>
    <w:rsid w:val="00E04107"/>
    <w:rsid w:val="00E04B0E"/>
    <w:rsid w:val="00E23A07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5FA6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B260-0A2C-47C9-B071-9D28EAFE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2015-04-01T12:40:00Z</cp:lastPrinted>
  <dcterms:created xsi:type="dcterms:W3CDTF">2015-10-02T13:46:00Z</dcterms:created>
  <dcterms:modified xsi:type="dcterms:W3CDTF">2015-10-02T13:46:00Z</dcterms:modified>
</cp:coreProperties>
</file>