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EB0F1B" w:rsidRPr="00841099" w:rsidTr="009D4833">
        <w:trPr>
          <w:trHeight w:val="20"/>
          <w:tblHeader/>
        </w:trPr>
        <w:tc>
          <w:tcPr>
            <w:tcW w:w="2965" w:type="dxa"/>
          </w:tcPr>
          <w:p w:rsidR="00EB0F1B" w:rsidRPr="00841099" w:rsidRDefault="00311E31" w:rsidP="007456FA">
            <w:pPr>
              <w:spacing w:after="0" w:line="300" w:lineRule="auto"/>
              <w:outlineLvl w:val="1"/>
              <w:rPr>
                <w:rFonts w:eastAsia="Times New Roman" w:cstheme="minorHAnsi"/>
                <w:b/>
                <w:bCs/>
              </w:rPr>
            </w:pPr>
            <w:r w:rsidRPr="00841099">
              <w:rPr>
                <w:rFonts w:eastAsia="Times New Roman" w:cstheme="minorHAnsi"/>
                <w:b/>
              </w:rPr>
              <w:t>CRN</w:t>
            </w:r>
          </w:p>
        </w:tc>
        <w:tc>
          <w:tcPr>
            <w:tcW w:w="7943" w:type="dxa"/>
            <w:shd w:val="clear" w:color="auto" w:fill="FFFFFF" w:themeFill="background1"/>
          </w:tcPr>
          <w:p w:rsidR="00EB0F1B" w:rsidRDefault="00EB0F1B" w:rsidP="002D56C2">
            <w:pPr>
              <w:spacing w:after="0"/>
              <w:rPr>
                <w:rFonts w:eastAsia="Times New Roman" w:cstheme="minorHAnsi"/>
              </w:rPr>
            </w:pPr>
            <w:r w:rsidRPr="00EB0F1B">
              <w:rPr>
                <w:rFonts w:eastAsia="Times New Roman" w:cstheme="minorHAnsi"/>
              </w:rPr>
              <w:t>10879</w:t>
            </w:r>
            <w:r>
              <w:rPr>
                <w:rFonts w:eastAsia="Times New Roman" w:cstheme="minorHAnsi"/>
              </w:rPr>
              <w:t xml:space="preserve"> </w:t>
            </w:r>
            <w:r w:rsidRPr="00EB0F1B">
              <w:rPr>
                <w:rFonts w:eastAsia="Times New Roman" w:cstheme="minorHAnsi"/>
              </w:rPr>
              <w:t>HIST-1301-</w:t>
            </w:r>
            <w:r>
              <w:rPr>
                <w:rFonts w:eastAsia="Times New Roman" w:cstheme="minorHAnsi"/>
              </w:rPr>
              <w:t>404</w:t>
            </w:r>
            <w:r w:rsidRPr="00EB0F1B">
              <w:rPr>
                <w:rFonts w:eastAsia="Times New Roman" w:cstheme="minorHAnsi"/>
              </w:rPr>
              <w:t xml:space="preserve"> - United States History I</w:t>
            </w:r>
          </w:p>
          <w:p w:rsidR="00EB0F1B" w:rsidRDefault="00EB0F1B" w:rsidP="002D56C2">
            <w:pPr>
              <w:spacing w:after="0"/>
              <w:rPr>
                <w:rFonts w:eastAsia="Times New Roman" w:cstheme="minorHAnsi"/>
              </w:rPr>
            </w:pPr>
            <w:r>
              <w:rPr>
                <w:rFonts w:eastAsia="Times New Roman" w:cstheme="minorHAnsi"/>
              </w:rPr>
              <w:t xml:space="preserve">10940 </w:t>
            </w:r>
            <w:r w:rsidRPr="00EB0F1B">
              <w:rPr>
                <w:rFonts w:eastAsia="Times New Roman" w:cstheme="minorHAnsi"/>
              </w:rPr>
              <w:t>HIST-1301-</w:t>
            </w:r>
            <w:r w:rsidR="00311E31">
              <w:rPr>
                <w:rFonts w:eastAsia="Times New Roman" w:cstheme="minorHAnsi"/>
              </w:rPr>
              <w:t>910</w:t>
            </w:r>
            <w:r w:rsidRPr="00EB0F1B">
              <w:rPr>
                <w:rFonts w:eastAsia="Times New Roman" w:cstheme="minorHAnsi"/>
              </w:rPr>
              <w:t xml:space="preserve"> - United States History I</w:t>
            </w:r>
          </w:p>
          <w:p w:rsidR="00EB0F1B" w:rsidRDefault="00EB0F1B" w:rsidP="002D56C2">
            <w:pPr>
              <w:spacing w:after="0"/>
              <w:rPr>
                <w:rFonts w:eastAsia="Times New Roman" w:cstheme="minorHAnsi"/>
              </w:rPr>
            </w:pPr>
            <w:r>
              <w:rPr>
                <w:rFonts w:eastAsia="Times New Roman" w:cstheme="minorHAnsi"/>
              </w:rPr>
              <w:t>10939</w:t>
            </w:r>
            <w:r w:rsidR="00311E31">
              <w:rPr>
                <w:rFonts w:eastAsia="Times New Roman" w:cstheme="minorHAnsi"/>
              </w:rPr>
              <w:t xml:space="preserve"> </w:t>
            </w:r>
            <w:r w:rsidR="00311E31" w:rsidRPr="00EB0F1B">
              <w:rPr>
                <w:rFonts w:eastAsia="Times New Roman" w:cstheme="minorHAnsi"/>
              </w:rPr>
              <w:t>HIST-1301-</w:t>
            </w:r>
            <w:r w:rsidR="00311E31">
              <w:rPr>
                <w:rFonts w:eastAsia="Times New Roman" w:cstheme="minorHAnsi"/>
              </w:rPr>
              <w:t>912</w:t>
            </w:r>
            <w:r w:rsidR="00311E31" w:rsidRPr="00EB0F1B">
              <w:rPr>
                <w:rFonts w:eastAsia="Times New Roman" w:cstheme="minorHAnsi"/>
              </w:rPr>
              <w:t xml:space="preserve"> - United States History I</w:t>
            </w:r>
          </w:p>
          <w:p w:rsidR="00EB0F1B" w:rsidRDefault="00EB0F1B" w:rsidP="00311E31">
            <w:pPr>
              <w:spacing w:after="0"/>
              <w:rPr>
                <w:rFonts w:eastAsia="Times New Roman" w:cstheme="minorHAnsi"/>
              </w:rPr>
            </w:pPr>
            <w:r w:rsidRPr="00EB0F1B">
              <w:rPr>
                <w:rFonts w:eastAsia="Times New Roman" w:cstheme="minorHAnsi"/>
              </w:rPr>
              <w:t>10979</w:t>
            </w:r>
          </w:p>
        </w:tc>
      </w:tr>
      <w:tr w:rsidR="00414BFA" w:rsidRPr="00841099" w:rsidTr="00EB0F1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EB0F1B" w:rsidP="00EB0F1B">
                <w:pPr>
                  <w:spacing w:after="0"/>
                  <w:rPr>
                    <w:rFonts w:eastAsia="Times New Roman" w:cstheme="minorHAnsi"/>
                  </w:rPr>
                </w:pPr>
                <w:r w:rsidRPr="00EB0F1B">
                  <w:rPr>
                    <w:rFonts w:eastAsia="Times New Roman" w:cstheme="minorHAnsi"/>
                  </w:rPr>
                  <w:t>HIST 1301-160  United States History I</w:t>
                </w:r>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ED0AD1"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ED0AD1"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311E31">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FFFFFF" w:themeFill="background1"/>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ED0AD1"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ED0AD1"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311E31">
      <w:pPr>
        <w:shd w:val="clear" w:color="auto" w:fill="FFFFFF" w:themeFill="background1"/>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C523C6" w:rsidRPr="00841099"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41099">
        <w:rPr>
          <w:rFonts w:eastAsia="Times New Roman" w:cstheme="minorHAnsi"/>
        </w:rPr>
        <w:t>Unit 2: From Making a Revolution to Making a Nation - 1776 to 1830s</w:t>
      </w:r>
    </w:p>
    <w:p w:rsidR="00C523C6" w:rsidRPr="00673917" w:rsidRDefault="00C523C6" w:rsidP="00311E31">
      <w:pPr>
        <w:pStyle w:val="ListParagraph"/>
        <w:numPr>
          <w:ilvl w:val="0"/>
          <w:numId w:val="28"/>
        </w:numPr>
        <w:shd w:val="clear" w:color="auto" w:fill="FFFFFF" w:themeFill="background1"/>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ED0AD1"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ED0AD1"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ED0AD1"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ED0AD1"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11E31" w:rsidRPr="00311E31">
        <w:t>two</w:t>
      </w:r>
      <w:r w:rsidR="00821B96" w:rsidRPr="00311E31">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bookmarkStart w:id="0" w:name="_GoBack"/>
      <w:bookmarkEnd w:id="0"/>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Pr="00B470F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D1" w:rsidRDefault="00ED0AD1" w:rsidP="000D076F">
      <w:pPr>
        <w:spacing w:after="0" w:line="240" w:lineRule="auto"/>
      </w:pPr>
      <w:r>
        <w:separator/>
      </w:r>
    </w:p>
  </w:endnote>
  <w:endnote w:type="continuationSeparator" w:id="0">
    <w:p w:rsidR="00ED0AD1" w:rsidRDefault="00ED0AD1"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ED0A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D1" w:rsidRDefault="00ED0AD1" w:rsidP="000D076F">
      <w:pPr>
        <w:spacing w:after="0" w:line="240" w:lineRule="auto"/>
      </w:pPr>
      <w:r>
        <w:separator/>
      </w:r>
    </w:p>
  </w:footnote>
  <w:footnote w:type="continuationSeparator" w:id="0">
    <w:p w:rsidR="00ED0AD1" w:rsidRDefault="00ED0AD1"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5"/>
  </w:num>
  <w:num w:numId="13">
    <w:abstractNumId w:val="5"/>
  </w:num>
  <w:num w:numId="14">
    <w:abstractNumId w:val="4"/>
  </w:num>
  <w:num w:numId="15">
    <w:abstractNumId w:val="26"/>
  </w:num>
  <w:num w:numId="16">
    <w:abstractNumId w:val="19"/>
  </w:num>
  <w:num w:numId="17">
    <w:abstractNumId w:val="27"/>
  </w:num>
  <w:num w:numId="18">
    <w:abstractNumId w:val="8"/>
  </w:num>
  <w:num w:numId="19">
    <w:abstractNumId w:val="16"/>
  </w:num>
  <w:num w:numId="20">
    <w:abstractNumId w:val="22"/>
  </w:num>
  <w:num w:numId="21">
    <w:abstractNumId w:val="13"/>
  </w:num>
  <w:num w:numId="22">
    <w:abstractNumId w:val="24"/>
  </w:num>
  <w:num w:numId="23">
    <w:abstractNumId w:val="1"/>
  </w:num>
  <w:num w:numId="24">
    <w:abstractNumId w:val="9"/>
  </w:num>
  <w:num w:numId="25">
    <w:abstractNumId w:val="21"/>
  </w:num>
  <w:num w:numId="26">
    <w:abstractNumId w:val="14"/>
  </w:num>
  <w:num w:numId="27">
    <w:abstractNumId w:val="0"/>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11E31"/>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13F"/>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0F1B"/>
    <w:rsid w:val="00EB6884"/>
    <w:rsid w:val="00EB6E1C"/>
    <w:rsid w:val="00EC1D42"/>
    <w:rsid w:val="00EC3F8C"/>
    <w:rsid w:val="00EC4AF3"/>
    <w:rsid w:val="00EC7836"/>
    <w:rsid w:val="00ED0AD1"/>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05BC"/>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8B08-2C26-484B-9407-D63C6F9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18</TotalTime>
  <Pages>11</Pages>
  <Words>5132</Words>
  <Characters>29257</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2020-08-31T07:05:00Z</dcterms:created>
  <dcterms:modified xsi:type="dcterms:W3CDTF">2020-08-31T07:22:00Z</dcterms:modified>
</cp:coreProperties>
</file>