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B43842">
      <w:pPr>
        <w:rPr>
          <w:rFonts w:eastAsia="Times New Roman"/>
          <w:shd w:val="clear" w:color="auto" w:fill="FFFFFF" w:themeFill="background1"/>
        </w:rPr>
      </w:pPr>
      <w:bookmarkStart w:id="0" w:name="_GoBack"/>
      <w:bookmarkEnd w:id="0"/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 w:rsidRPr="00046B4D">
        <w:rPr>
          <w:shd w:val="clear" w:color="auto" w:fill="FFFFFF" w:themeFill="background1"/>
        </w:rPr>
        <w:t xml:space="preserve"> </w:t>
      </w:r>
      <w:r w:rsidR="00B43842">
        <w:rPr>
          <w:shd w:val="clear" w:color="auto" w:fill="FFFFFF" w:themeFill="background1"/>
        </w:rPr>
        <w:t xml:space="preserve">- 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) </w:t>
      </w:r>
      <w:r w:rsidR="00B43842">
        <w:rPr>
          <w:rFonts w:eastAsia="Times New Roman"/>
          <w:shd w:val="clear" w:color="auto" w:fill="FFFFFF" w:themeFill="background1"/>
        </w:rPr>
        <w:t xml:space="preserve">when you complete the work. </w:t>
      </w:r>
    </w:p>
    <w:p w:rsidR="00B43842" w:rsidRPr="0028398F" w:rsidRDefault="00B43842" w:rsidP="00B43842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>
        <w:t>(March 30</w:t>
      </w:r>
      <w:r w:rsidRPr="0028398F">
        <w:t>-</w:t>
      </w:r>
      <w:r>
        <w:t>March 31)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30</w:t>
            </w:r>
            <w:r w:rsidRPr="0028398F">
              <w:t>-</w:t>
            </w:r>
            <w:r>
              <w:t>March 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  <w:r>
              <w:br/>
            </w:r>
            <w:r w:rsidRPr="005412A6">
              <w:rPr>
                <w:b/>
              </w:rPr>
              <w:t>Why?</w:t>
            </w:r>
            <w:r>
              <w:t xml:space="preserve"> To </w:t>
            </w:r>
            <w:r w:rsidRPr="005412A6">
              <w:rPr>
                <w:b/>
                <w:highlight w:val="yellow"/>
              </w:rPr>
              <w:t>prevent</w:t>
            </w:r>
            <w:r>
              <w:t xml:space="preserve"> problems, not just for the points.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 xml:space="preserve">March 31 by 11:59 PM </w:t>
            </w:r>
            <w:r w:rsidRPr="00E5558C">
              <w:t xml:space="preserve">&lt; </w:t>
            </w:r>
            <w:r>
              <w:t>Need more time? Email immediately.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50-</w:t>
            </w:r>
            <w:r w:rsidRPr="00CC644B">
              <w:rPr>
                <w:shd w:val="clear" w:color="auto" w:fill="FFFF00"/>
              </w:rPr>
              <w:t xml:space="preserve">A </w:t>
            </w:r>
            <w:r>
              <w:rPr>
                <w:rStyle w:val="Strong"/>
                <w:shd w:val="clear" w:color="auto" w:fill="FFFF00"/>
              </w:rPr>
              <w:t>lot!</w:t>
            </w:r>
          </w:p>
        </w:tc>
      </w:tr>
    </w:tbl>
    <w:p w:rsidR="00B43842" w:rsidRPr="00274382" w:rsidRDefault="00B43842" w:rsidP="00B4384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Pr="00274382">
        <w:t xml:space="preserve"> (</w:t>
      </w:r>
      <w:r>
        <w:t>March 31</w:t>
      </w:r>
      <w:r w:rsidRPr="002F65E9">
        <w:t>-</w:t>
      </w:r>
      <w:r>
        <w:t>April 12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Unit 1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Pr="002F65E9">
              <w:t>-</w:t>
            </w:r>
            <w:r>
              <w:t xml:space="preserve">April 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12 by 11:59 PM</w:t>
            </w:r>
            <w:r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70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1 Exam -</w:t>
            </w:r>
            <w:r w:rsidRPr="00C91499">
              <w:rPr>
                <w:b/>
                <w:highlight w:val="cyan"/>
              </w:rPr>
              <w:t>Tip:</w:t>
            </w:r>
            <w:r>
              <w:t xml:space="preserve"> longer time because of the holiday.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8 to </w:t>
            </w:r>
          </w:p>
          <w:p w:rsidR="00B43842" w:rsidRDefault="00B43842" w:rsidP="008314CB">
            <w:pPr>
              <w:pStyle w:val="MB-tableRows"/>
            </w:pPr>
            <w:r>
              <w:t xml:space="preserve">April 12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Respondus Monitoring So You Take the Final Exam and Also Not Have Penalties (April 5</w:t>
      </w:r>
      <w:r w:rsidRPr="007259CF">
        <w:rPr>
          <w:shd w:val="clear" w:color="auto" w:fill="FFFFFF" w:themeFill="background1"/>
        </w:rPr>
        <w:t>-</w:t>
      </w:r>
      <w:r>
        <w:t>April 15</w:t>
      </w:r>
      <w:r w:rsidRPr="007F3D78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1"/>
        <w:gridCol w:w="2349"/>
        <w:gridCol w:w="4705"/>
        <w:gridCol w:w="2931"/>
        <w:gridCol w:w="934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Instructions at the top of the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5412A6">
              <w:rPr>
                <w:b/>
              </w:rPr>
              <w:t>Essential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 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 listing all actions in WCJC’s video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WCJC’s required list of penalties in the syllabus with the prof’s points off for </w:t>
            </w:r>
            <w:r w:rsidRPr="00C91499">
              <w:rPr>
                <w:b/>
              </w:rPr>
              <w:t>this</w:t>
            </w:r>
            <w:r>
              <w:t xml:space="preserve"> course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259CF" w:rsidRDefault="00B43842" w:rsidP="008314CB">
            <w:pPr>
              <w:pStyle w:val="MB-tableRows"/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>April 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 and Signup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Take the WCJC’s Sample Respondus Exam as WCJC’s video shows (You may use the checklist when you do the Sample Respondus Exam and the Final.)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 xml:space="preserve">When ready, post in Respondus Signup that you are ready for your prof to check it. The Respondus Signup discussion also covers an </w:t>
            </w:r>
            <w:r w:rsidRPr="00F964FD">
              <w:rPr>
                <w:b/>
              </w:rPr>
              <w:t>alternative</w:t>
            </w:r>
            <w:r>
              <w:t xml:space="preserve"> for taking the Sample Respondus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shd w:val="clear" w:color="auto" w:fill="FFFFFF" w:themeFill="background1"/>
              </w:rPr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 April 15</w:t>
            </w: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Grading –How It Is Done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First, your prof checks videos of those who posted in Respondus Signup and, second, videos of those who did not sign up. She emails to each one:</w:t>
            </w:r>
          </w:p>
          <w:p w:rsidR="00B43842" w:rsidRDefault="00B43842" w:rsidP="008314CB">
            <w:pPr>
              <w:pStyle w:val="MB-bulletsintable13indent"/>
            </w:pPr>
            <w:r>
              <w:t>The marked checklist showing problems, if any, and snippets of Respondus screens if applicable</w:t>
            </w:r>
          </w:p>
          <w:p w:rsidR="00B43842" w:rsidRDefault="00B43842" w:rsidP="008314CB">
            <w:pPr>
              <w:pStyle w:val="MB-bulletsintable13indent"/>
            </w:pPr>
            <w:r>
              <w:t>Feedback on whether you would have penalties if you did the Final Exam in the same way as you did the Sample Respondus Exam.</w:t>
            </w:r>
          </w:p>
          <w:p w:rsidR="00B43842" w:rsidRDefault="00B43842" w:rsidP="008314CB">
            <w:pPr>
              <w:pStyle w:val="MB-bulletsintable13indent"/>
            </w:pPr>
            <w:r>
              <w:t>An offer to answer questions by phone or email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Second, you reply back or ask questions.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Third, your prof enters the points in “Video Review by Prof” so that you can take the Final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Your prof will begin about April 16, but the work is done a few hours at a time spread over several days</w:t>
            </w:r>
          </w:p>
          <w:p w:rsidR="00B43842" w:rsidRDefault="00B43842" w:rsidP="008314CB">
            <w:pPr>
              <w:pStyle w:val="MB-tableRows"/>
            </w:pP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 w:rsidRPr="00D5131C">
              <w:t>15</w:t>
            </w:r>
            <w:r>
              <w:t xml:space="preserve"> or less varying with the feedback </w:t>
            </w:r>
          </w:p>
        </w:tc>
      </w:tr>
    </w:tbl>
    <w:p w:rsidR="00B43842" w:rsidRPr="00C677AC" w:rsidRDefault="00B43842" w:rsidP="00B43842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(April 5</w:t>
      </w:r>
      <w:r w:rsidRPr="00C677AC">
        <w:t>-</w:t>
      </w:r>
      <w:r>
        <w:t>April 15)</w:t>
      </w:r>
      <w:r w:rsidRPr="00B24E5E">
        <w:t xml:space="preserve"> </w:t>
      </w:r>
      <w:r>
        <w:t xml:space="preserve">-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do the 3-Part Writing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5-April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5 to</w:t>
            </w:r>
          </w:p>
          <w:p w:rsidR="00B43842" w:rsidRPr="00E500DB" w:rsidRDefault="00B43842" w:rsidP="008314CB">
            <w:pPr>
              <w:pStyle w:val="MB-tableRows"/>
            </w:pPr>
            <w:r>
              <w:t>April 15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40</w:t>
            </w:r>
          </w:p>
        </w:tc>
      </w:tr>
    </w:tbl>
    <w:p w:rsidR="00B43842" w:rsidRPr="00BA6ECB" w:rsidRDefault="00B43842" w:rsidP="00B43842">
      <w:pPr>
        <w:pStyle w:val="MB-HeadingforSchedule"/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(April 12-April 26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rPr>
                <w:rFonts w:eastAsia="Times New Roman"/>
              </w:rPr>
              <w:t>April 12-April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 xml:space="preserve">April 26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82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23 to</w:t>
            </w:r>
          </w:p>
          <w:p w:rsidR="00B43842" w:rsidRDefault="00B43842" w:rsidP="008314CB">
            <w:pPr>
              <w:pStyle w:val="MB-tableRows"/>
            </w:pPr>
            <w:r>
              <w:t>April 26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3-Part Writing: Paper, 2 Fact-Checking Reviews, and a Reply to Each Review (April 16-May 12)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425"/>
        <w:gridCol w:w="4872"/>
        <w:gridCol w:w="3034"/>
        <w:gridCol w:w="919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Instructions at the top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textbook pages as secondary sources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video provided as a secondary source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Required primary sources provided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16-May 12</w:t>
            </w:r>
          </w:p>
          <w:p w:rsidR="00B43842" w:rsidRDefault="00B43842" w:rsidP="008314CB">
            <w:pPr>
              <w:pStyle w:val="MB-tableRows"/>
            </w:pPr>
          </w:p>
          <w:p w:rsidR="00B43842" w:rsidRPr="00E500DB" w:rsidRDefault="00B43842" w:rsidP="008314CB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Formal Paper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>Paper posted to 3-Part Writing (Uses the Discussion Tool. You must post to see other posts.)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16 to </w:t>
            </w:r>
          </w:p>
          <w:p w:rsidR="00B43842" w:rsidRPr="00E500DB" w:rsidRDefault="00B43842" w:rsidP="008314CB">
            <w:pPr>
              <w:pStyle w:val="MB-tableRows"/>
            </w:pPr>
            <w:r>
              <w:t xml:space="preserve">April 24 by 11:59 </w:t>
            </w:r>
            <w:r w:rsidRPr="003D1E25">
              <w:rPr>
                <w:b/>
              </w:rPr>
              <w:t>A</w:t>
            </w:r>
            <w:r w:rsidRPr="00CD38C9">
              <w:t>M</w:t>
            </w:r>
            <w:r w:rsidRPr="00CD38C9">
              <w:rPr>
                <w:b/>
              </w:rPr>
              <w:t xml:space="preserve"> (</w:t>
            </w:r>
            <w:r>
              <w:rPr>
                <w:b/>
              </w:rPr>
              <w:t>Noon)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100</w:t>
            </w:r>
          </w:p>
        </w:tc>
      </w:tr>
      <w:tr w:rsidR="00B43842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2 Graded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Feedback on papers given through Blackboard Course Messages on April 27 and, </w:t>
            </w:r>
            <w:r w:rsidRPr="00D1602A">
              <w:rPr>
                <w:b/>
              </w:rPr>
              <w:t>once you reply</w:t>
            </w:r>
            <w:r>
              <w:t xml:space="preserve">, you can do the Fact-Checking Reviews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27 in afternoon to </w:t>
            </w:r>
          </w:p>
          <w:p w:rsidR="00B43842" w:rsidRDefault="00B43842" w:rsidP="008314CB">
            <w:pPr>
              <w:pStyle w:val="MB-tableRows"/>
            </w:pPr>
            <w:r>
              <w:t>May 4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40</w:t>
            </w:r>
          </w:p>
          <w:p w:rsidR="00B43842" w:rsidRDefault="00B43842" w:rsidP="008314CB">
            <w:pPr>
              <w:pStyle w:val="MB-tableRows"/>
            </w:pPr>
            <w:r>
              <w:t>40</w:t>
            </w:r>
          </w:p>
        </w:tc>
      </w:tr>
      <w:tr w:rsidR="00B43842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Replies about the 2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Feedback on Fact-Checking Reviews given about May 6 and the 3-Part Writing opens for the authors to reply to the 2 Fact-Checking Reviewer(s)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6  to</w:t>
            </w:r>
          </w:p>
          <w:p w:rsidR="00B43842" w:rsidRDefault="00B43842" w:rsidP="008314CB">
            <w:pPr>
              <w:pStyle w:val="MB-tableRows"/>
            </w:pPr>
            <w:r>
              <w:t>May 12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</w:p>
        </w:tc>
      </w:tr>
    </w:tbl>
    <w:p w:rsidR="00B43842" w:rsidRPr="004B1104" w:rsidRDefault="00B43842" w:rsidP="00B4384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>
        <w:t>April 26</w:t>
      </w:r>
      <w:r w:rsidRPr="004B1104">
        <w:t>-</w:t>
      </w:r>
      <w:r>
        <w:t>May 10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26</w:t>
            </w:r>
            <w:r w:rsidRPr="004B1104">
              <w:t>-</w:t>
            </w:r>
            <w:r>
              <w:t xml:space="preserve">May 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48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7 to</w:t>
            </w:r>
          </w:p>
          <w:p w:rsidR="00B43842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 xml:space="preserve">e Present </w:t>
      </w:r>
      <w:r w:rsidRPr="002D7653">
        <w:t>(</w:t>
      </w:r>
      <w:r>
        <w:t>May 3–May 13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(With Respondus Monitor, look at WCJC’s video and the checklist again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</w:t>
            </w:r>
            <w:r>
              <w:rPr>
                <w:rStyle w:val="Strong"/>
                <w:b w:val="0"/>
              </w:rPr>
              <w:t xml:space="preserve"> may be used</w:t>
            </w:r>
            <w:r>
              <w:t xml:space="preserve"> during the Final Exam</w:t>
            </w:r>
          </w:p>
          <w:p w:rsidR="00B43842" w:rsidRPr="007A323C" w:rsidRDefault="00B43842" w:rsidP="00B43842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3</w:t>
            </w:r>
            <w:r w:rsidRPr="004B1104">
              <w:t>-</w:t>
            </w:r>
            <w:r>
              <w:t xml:space="preserve"> May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Final from Monday through Wednesday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10 at 12:01 AM</w:t>
            </w:r>
          </w:p>
          <w:p w:rsidR="00B43842" w:rsidRDefault="00B43842" w:rsidP="008314CB">
            <w:pPr>
              <w:pStyle w:val="MB-tableRows"/>
            </w:pPr>
            <w:r>
              <w:t>May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p w:rsidR="00853827" w:rsidRDefault="00853827" w:rsidP="00853827"/>
    <w:sectPr w:rsidR="00853827" w:rsidSect="007456FA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99" w:rsidRDefault="006B3C99" w:rsidP="000D076F">
      <w:pPr>
        <w:spacing w:after="0" w:line="240" w:lineRule="auto"/>
      </w:pPr>
      <w:r>
        <w:separator/>
      </w:r>
    </w:p>
  </w:endnote>
  <w:endnote w:type="continuationSeparator" w:id="0">
    <w:p w:rsidR="006B3C99" w:rsidRDefault="006B3C99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B3C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99" w:rsidRDefault="006B3C99" w:rsidP="000D076F">
      <w:pPr>
        <w:spacing w:after="0" w:line="240" w:lineRule="auto"/>
      </w:pPr>
      <w:r>
        <w:separator/>
      </w:r>
    </w:p>
  </w:footnote>
  <w:footnote w:type="continuationSeparator" w:id="0">
    <w:p w:rsidR="006B3C99" w:rsidRDefault="006B3C99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953"/>
    <w:multiLevelType w:val="hybridMultilevel"/>
    <w:tmpl w:val="CE1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A27"/>
    <w:multiLevelType w:val="hybridMultilevel"/>
    <w:tmpl w:val="DF2C4308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D91"/>
    <w:multiLevelType w:val="hybridMultilevel"/>
    <w:tmpl w:val="E26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517"/>
    <w:multiLevelType w:val="hybridMultilevel"/>
    <w:tmpl w:val="6E6C994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917FD"/>
    <w:multiLevelType w:val="hybridMultilevel"/>
    <w:tmpl w:val="D01C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5AC8"/>
    <w:multiLevelType w:val="hybridMultilevel"/>
    <w:tmpl w:val="F8B6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A35"/>
    <w:multiLevelType w:val="hybridMultilevel"/>
    <w:tmpl w:val="EB36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56D7"/>
    <w:multiLevelType w:val="hybridMultilevel"/>
    <w:tmpl w:val="D4EC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5AC0"/>
    <w:multiLevelType w:val="hybridMultilevel"/>
    <w:tmpl w:val="89DA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2E99"/>
    <w:multiLevelType w:val="hybridMultilevel"/>
    <w:tmpl w:val="A060F40A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74DEB"/>
    <w:multiLevelType w:val="hybridMultilevel"/>
    <w:tmpl w:val="F45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59F1"/>
    <w:multiLevelType w:val="hybridMultilevel"/>
    <w:tmpl w:val="9B2A0A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2304"/>
    <w:multiLevelType w:val="hybridMultilevel"/>
    <w:tmpl w:val="8E9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07C"/>
    <w:multiLevelType w:val="hybridMultilevel"/>
    <w:tmpl w:val="920E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7"/>
  </w:num>
  <w:num w:numId="4">
    <w:abstractNumId w:val="10"/>
  </w:num>
  <w:num w:numId="5">
    <w:abstractNumId w:val="15"/>
  </w:num>
  <w:num w:numId="6">
    <w:abstractNumId w:val="30"/>
  </w:num>
  <w:num w:numId="7">
    <w:abstractNumId w:val="18"/>
  </w:num>
  <w:num w:numId="8">
    <w:abstractNumId w:val="4"/>
  </w:num>
  <w:num w:numId="9">
    <w:abstractNumId w:val="39"/>
  </w:num>
  <w:num w:numId="10">
    <w:abstractNumId w:val="28"/>
  </w:num>
  <w:num w:numId="11">
    <w:abstractNumId w:val="11"/>
  </w:num>
  <w:num w:numId="12">
    <w:abstractNumId w:val="20"/>
  </w:num>
  <w:num w:numId="13">
    <w:abstractNumId w:val="14"/>
  </w:num>
  <w:num w:numId="14">
    <w:abstractNumId w:val="22"/>
  </w:num>
  <w:num w:numId="15">
    <w:abstractNumId w:val="24"/>
  </w:num>
  <w:num w:numId="16">
    <w:abstractNumId w:val="44"/>
  </w:num>
  <w:num w:numId="17">
    <w:abstractNumId w:val="2"/>
  </w:num>
  <w:num w:numId="18">
    <w:abstractNumId w:val="21"/>
  </w:num>
  <w:num w:numId="19">
    <w:abstractNumId w:val="16"/>
  </w:num>
  <w:num w:numId="20">
    <w:abstractNumId w:val="3"/>
  </w:num>
  <w:num w:numId="21">
    <w:abstractNumId w:val="42"/>
  </w:num>
  <w:num w:numId="22">
    <w:abstractNumId w:val="0"/>
  </w:num>
  <w:num w:numId="23">
    <w:abstractNumId w:val="43"/>
  </w:num>
  <w:num w:numId="24">
    <w:abstractNumId w:val="25"/>
  </w:num>
  <w:num w:numId="25">
    <w:abstractNumId w:val="6"/>
  </w:num>
  <w:num w:numId="26">
    <w:abstractNumId w:val="33"/>
  </w:num>
  <w:num w:numId="27">
    <w:abstractNumId w:val="40"/>
  </w:num>
  <w:num w:numId="28">
    <w:abstractNumId w:val="12"/>
  </w:num>
  <w:num w:numId="29">
    <w:abstractNumId w:val="19"/>
  </w:num>
  <w:num w:numId="30">
    <w:abstractNumId w:val="1"/>
  </w:num>
  <w:num w:numId="31">
    <w:abstractNumId w:val="38"/>
  </w:num>
  <w:num w:numId="32">
    <w:abstractNumId w:val="34"/>
  </w:num>
  <w:num w:numId="33">
    <w:abstractNumId w:val="5"/>
  </w:num>
  <w:num w:numId="34">
    <w:abstractNumId w:val="32"/>
  </w:num>
  <w:num w:numId="35">
    <w:abstractNumId w:val="9"/>
  </w:num>
  <w:num w:numId="36">
    <w:abstractNumId w:val="35"/>
  </w:num>
  <w:num w:numId="37">
    <w:abstractNumId w:val="31"/>
  </w:num>
  <w:num w:numId="38">
    <w:abstractNumId w:val="7"/>
  </w:num>
  <w:num w:numId="39">
    <w:abstractNumId w:val="26"/>
  </w:num>
  <w:num w:numId="40">
    <w:abstractNumId w:val="41"/>
  </w:num>
  <w:num w:numId="41">
    <w:abstractNumId w:val="29"/>
  </w:num>
  <w:num w:numId="42">
    <w:abstractNumId w:val="8"/>
  </w:num>
  <w:num w:numId="43">
    <w:abstractNumId w:val="45"/>
  </w:num>
  <w:num w:numId="44">
    <w:abstractNumId w:val="13"/>
  </w:num>
  <w:num w:numId="45">
    <w:abstractNumId w:val="23"/>
  </w:num>
  <w:num w:numId="4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7F9"/>
    <w:rsid w:val="00032CE4"/>
    <w:rsid w:val="00035F41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E01EC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6435A"/>
    <w:rsid w:val="003645D3"/>
    <w:rsid w:val="00365C08"/>
    <w:rsid w:val="003671F2"/>
    <w:rsid w:val="00370A9D"/>
    <w:rsid w:val="00372B3F"/>
    <w:rsid w:val="0037717C"/>
    <w:rsid w:val="00377D3A"/>
    <w:rsid w:val="0038043C"/>
    <w:rsid w:val="00381035"/>
    <w:rsid w:val="00381830"/>
    <w:rsid w:val="00383239"/>
    <w:rsid w:val="00386A19"/>
    <w:rsid w:val="00387885"/>
    <w:rsid w:val="0039275B"/>
    <w:rsid w:val="00393E44"/>
    <w:rsid w:val="00396046"/>
    <w:rsid w:val="003A1D45"/>
    <w:rsid w:val="003A21A4"/>
    <w:rsid w:val="003A427A"/>
    <w:rsid w:val="003A46A1"/>
    <w:rsid w:val="003A614E"/>
    <w:rsid w:val="003B2813"/>
    <w:rsid w:val="003B4CED"/>
    <w:rsid w:val="003B5B33"/>
    <w:rsid w:val="003C2836"/>
    <w:rsid w:val="003D42BD"/>
    <w:rsid w:val="003D4750"/>
    <w:rsid w:val="003D498D"/>
    <w:rsid w:val="003D6BC2"/>
    <w:rsid w:val="003E28F1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9A8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A000F"/>
    <w:rsid w:val="004A151C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19A0"/>
    <w:rsid w:val="004E45D7"/>
    <w:rsid w:val="004E4951"/>
    <w:rsid w:val="004E573A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30795"/>
    <w:rsid w:val="005308F7"/>
    <w:rsid w:val="005336D3"/>
    <w:rsid w:val="00533B10"/>
    <w:rsid w:val="00533D60"/>
    <w:rsid w:val="0053717F"/>
    <w:rsid w:val="0054010A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52B9"/>
    <w:rsid w:val="006166B3"/>
    <w:rsid w:val="006204D3"/>
    <w:rsid w:val="0062092D"/>
    <w:rsid w:val="00625211"/>
    <w:rsid w:val="00626736"/>
    <w:rsid w:val="00634CE5"/>
    <w:rsid w:val="00636F20"/>
    <w:rsid w:val="00637C8E"/>
    <w:rsid w:val="00637F66"/>
    <w:rsid w:val="00640C1B"/>
    <w:rsid w:val="00641300"/>
    <w:rsid w:val="006449E7"/>
    <w:rsid w:val="00645E7D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7544"/>
    <w:rsid w:val="006B3C99"/>
    <w:rsid w:val="006B57FC"/>
    <w:rsid w:val="006B60B2"/>
    <w:rsid w:val="006C07E2"/>
    <w:rsid w:val="006C0F12"/>
    <w:rsid w:val="006D3B2E"/>
    <w:rsid w:val="006D597B"/>
    <w:rsid w:val="006D7B7D"/>
    <w:rsid w:val="006F10CE"/>
    <w:rsid w:val="006F1DC0"/>
    <w:rsid w:val="006F636B"/>
    <w:rsid w:val="007124EB"/>
    <w:rsid w:val="007179BE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FFB"/>
    <w:rsid w:val="0078215B"/>
    <w:rsid w:val="007848D3"/>
    <w:rsid w:val="00784F65"/>
    <w:rsid w:val="00787DE3"/>
    <w:rsid w:val="00794099"/>
    <w:rsid w:val="00796499"/>
    <w:rsid w:val="007A18DA"/>
    <w:rsid w:val="007A1FA8"/>
    <w:rsid w:val="007A225B"/>
    <w:rsid w:val="007A26DD"/>
    <w:rsid w:val="007A4694"/>
    <w:rsid w:val="007A4F5F"/>
    <w:rsid w:val="007A683B"/>
    <w:rsid w:val="007A7295"/>
    <w:rsid w:val="007B64E6"/>
    <w:rsid w:val="007B7EBA"/>
    <w:rsid w:val="007C14B9"/>
    <w:rsid w:val="007C2337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5BBD"/>
    <w:rsid w:val="00845EFD"/>
    <w:rsid w:val="00847555"/>
    <w:rsid w:val="00850709"/>
    <w:rsid w:val="00850D86"/>
    <w:rsid w:val="00850FB9"/>
    <w:rsid w:val="008512D4"/>
    <w:rsid w:val="00852041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416A"/>
    <w:rsid w:val="008B5504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4579"/>
    <w:rsid w:val="009675A3"/>
    <w:rsid w:val="009738BF"/>
    <w:rsid w:val="009775A5"/>
    <w:rsid w:val="00981807"/>
    <w:rsid w:val="00983F7D"/>
    <w:rsid w:val="00986A78"/>
    <w:rsid w:val="00991D10"/>
    <w:rsid w:val="0099313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7D2F"/>
    <w:rsid w:val="00A10561"/>
    <w:rsid w:val="00A109F4"/>
    <w:rsid w:val="00A10EE1"/>
    <w:rsid w:val="00A23F92"/>
    <w:rsid w:val="00A240BB"/>
    <w:rsid w:val="00A246BC"/>
    <w:rsid w:val="00A25A3C"/>
    <w:rsid w:val="00A367C1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73BF9"/>
    <w:rsid w:val="00A73E35"/>
    <w:rsid w:val="00A74A92"/>
    <w:rsid w:val="00A76C9C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7531"/>
    <w:rsid w:val="00B77606"/>
    <w:rsid w:val="00B80C11"/>
    <w:rsid w:val="00B82C62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3F8"/>
    <w:rsid w:val="00BC3D42"/>
    <w:rsid w:val="00BC53D0"/>
    <w:rsid w:val="00BC6967"/>
    <w:rsid w:val="00BC6BDB"/>
    <w:rsid w:val="00BC71B4"/>
    <w:rsid w:val="00BD09F4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4458"/>
    <w:rsid w:val="00C84D7F"/>
    <w:rsid w:val="00C91922"/>
    <w:rsid w:val="00C9216E"/>
    <w:rsid w:val="00C93D0F"/>
    <w:rsid w:val="00C94E6B"/>
    <w:rsid w:val="00C9523C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FE9"/>
    <w:rsid w:val="00D371E7"/>
    <w:rsid w:val="00D4158D"/>
    <w:rsid w:val="00D448C3"/>
    <w:rsid w:val="00D4497C"/>
    <w:rsid w:val="00D453CA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4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0C61D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0C61D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7022-AC03-4578-8C1E-81B1E0C7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(March 30-March 31)</vt:lpstr>
      <vt:lpstr>    Unit 1: Creating a New America from 1860 to 1900 (March 31-April 12)</vt:lpstr>
      <vt:lpstr>    Respondus Monitoring So You Take the Final Exam and Also Not Have Penalties (Apr</vt:lpstr>
      <vt:lpstr>    Getting Started with Evidence (April 5-April 15) - Caution: Required to do the 3</vt:lpstr>
      <vt:lpstr>    Unit 2: Moving to the World Stage-America from 1900 to 1945 (April 12-April 26)</vt:lpstr>
      <vt:lpstr>    3-Part Writing: Paper, 2 Fact-Checking Reviews, and a Reply to Each Review (Apri</vt:lpstr>
      <vt:lpstr>    Unit 3: Transformations–America from 1945 to the Near Present (April 26-May 10) </vt:lpstr>
      <vt:lpstr>    Final Exam: 1860 to the Present (May 3–May 13) – Opens Early for Review; Require</vt:lpstr>
    </vt:vector>
  </TitlesOfParts>
  <Company>Wharton County Junior College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2</cp:revision>
  <cp:lastPrinted>2020-03-30T05:54:00Z</cp:lastPrinted>
  <dcterms:created xsi:type="dcterms:W3CDTF">2020-04-04T13:32:00Z</dcterms:created>
  <dcterms:modified xsi:type="dcterms:W3CDTF">2020-04-04T13:32:00Z</dcterms:modified>
</cp:coreProperties>
</file>