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List of Due Dates</w:t>
      </w:r>
      <w:r w:rsidR="00933766">
        <w:rPr>
          <w:rFonts w:eastAsia="Times New Roman"/>
        </w:rPr>
        <w:t xml:space="preserve"> for </w:t>
      </w:r>
      <w:r w:rsidR="00933766">
        <w:rPr>
          <w:rFonts w:eastAsia="Times New Roman"/>
          <w:b w:val="0"/>
        </w:rPr>
        <w:t xml:space="preserve">8:00 AM-9:15 AM </w:t>
      </w:r>
      <w:r w:rsidR="00933766" w:rsidRPr="00933766">
        <w:rPr>
          <w:rFonts w:eastAsia="Times New Roman"/>
        </w:rPr>
        <w:t>and</w:t>
      </w:r>
      <w:r w:rsidR="00E97DAD">
        <w:rPr>
          <w:rFonts w:eastAsia="Times New Roman"/>
          <w:b w:val="0"/>
        </w:rPr>
        <w:t xml:space="preserve"> 10:50 AM</w:t>
      </w:r>
      <w:r w:rsidR="00933766">
        <w:rPr>
          <w:rFonts w:eastAsia="Times New Roman"/>
          <w:b w:val="0"/>
        </w:rPr>
        <w:t>–12:05 PM classes</w:t>
      </w:r>
      <w:r w:rsidR="001009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933766">
        <w:rPr>
          <w:rFonts w:eastAsia="Times New Roman"/>
        </w:rPr>
        <w:t xml:space="preserve"> 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  <w:r w:rsidR="00442AC1">
        <w:rPr>
          <w:rFonts w:eastAsia="Times New Roman"/>
        </w:rPr>
        <w:t xml:space="preserve">   </w:t>
      </w:r>
      <w:r w:rsidR="00E07656">
        <w:rPr>
          <w:rFonts w:eastAsia="Times New Roman"/>
        </w:rPr>
        <w:t xml:space="preserve">  </w:t>
      </w:r>
      <w:r w:rsidR="00933766">
        <w:rPr>
          <w:rFonts w:eastAsia="Times New Roman"/>
        </w:rPr>
        <w:t xml:space="preserve"> </w:t>
      </w:r>
      <w:r w:rsidR="00E07656" w:rsidRPr="00E07656">
        <w:rPr>
          <w:rFonts w:eastAsia="Times New Roman"/>
          <w:b w:val="0"/>
        </w:rPr>
        <w:t>(URL to Use</w:t>
      </w:r>
      <w:r w:rsidR="00E07656" w:rsidRPr="00E07656">
        <w:rPr>
          <w:rFonts w:eastAsia="Times New Roman"/>
        </w:rPr>
        <w:t xml:space="preserve"> this</w:t>
      </w:r>
      <w:r w:rsidR="00E07656" w:rsidRPr="00E07656">
        <w:rPr>
          <w:rFonts w:eastAsia="Times New Roman"/>
          <w:b w:val="0"/>
        </w:rPr>
        <w:t xml:space="preserve"> week:</w:t>
      </w:r>
      <w:r w:rsidR="00E07656">
        <w:rPr>
          <w:rFonts w:eastAsia="Times New Roman"/>
        </w:rPr>
        <w:t xml:space="preserve"> </w:t>
      </w:r>
      <w:hyperlink r:id="rId7" w:history="1">
        <w:r w:rsidR="00933766" w:rsidRPr="003E0105">
          <w:rPr>
            <w:rStyle w:val="Hyperlink"/>
            <w:rFonts w:eastAsia="Times New Roman"/>
            <w:b w:val="0"/>
          </w:rPr>
          <w:t>http://www.cjbibus.com/i_1302_main_syllabus.htm</w:t>
        </w:r>
      </w:hyperlink>
      <w:r w:rsidR="00442AC1">
        <w:rPr>
          <w:rStyle w:val="Hyperlink"/>
          <w:rFonts w:eastAsia="Times New Roman"/>
          <w:b w:val="0"/>
        </w:rPr>
        <w:t>)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Passwords are required only for Self-tests – </w:t>
            </w:r>
            <w:proofErr w:type="spellStart"/>
            <w:r>
              <w:rPr>
                <w:rFonts w:cs="Arial"/>
              </w:rPr>
              <w:t>selftest</w:t>
            </w:r>
            <w:proofErr w:type="spellEnd"/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--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Mark the Syllabus &amp; Success Assignment and view the links (URL at the top) for any row you do not understand (10 points). Come with your questions for the Q&amp;A (10 points). Blackboard demonstration, including of Evidence and of 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20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This is your chance to get ahead with your work. You may </w:t>
            </w:r>
            <w:r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 xml:space="preserve">Log in successfully. Take all 4 Evidence Quiz Self-Tests before the end of your class.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Transformations in the South and West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Turmoil and Expansion Through 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E07656">
        <w:t>3-</w:t>
      </w:r>
      <w:r w:rsidRPr="00250FB0">
        <w:t>Part Writing</w:t>
      </w:r>
      <w:r>
        <w:t xml:space="preserve"> </w:t>
      </w:r>
      <w:r w:rsidR="00A21674">
        <w:t xml:space="preserve">– Work Spread </w:t>
      </w:r>
      <w:proofErr w:type="gramStart"/>
      <w:r w:rsidR="00A21674">
        <w:t>Over</w:t>
      </w:r>
      <w:proofErr w:type="gramEnd"/>
      <w:r w:rsidR="009E4438">
        <w:t xml:space="preserve"> Unit 1, 2, and 3</w:t>
      </w:r>
    </w:p>
    <w:p w:rsidR="006B0BA0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</w:p>
    <w:p w:rsidR="00C5383D" w:rsidRPr="00E77D2A" w:rsidRDefault="00D54611">
      <w:pPr>
        <w:spacing w:after="0"/>
        <w:rPr>
          <w:rFonts w:cs="Arial"/>
        </w:rPr>
      </w:pPr>
      <w:r>
        <w:rPr>
          <w:rFonts w:cs="Arial"/>
        </w:rPr>
        <w:t xml:space="preserve">The Open dates are likely to remain as stated, but the due dates may not stay the same depending on </w:t>
      </w:r>
      <w:r w:rsidR="00A328CE">
        <w:rPr>
          <w:rFonts w:cs="Arial"/>
        </w:rPr>
        <w:t xml:space="preserve">how fast I can give you feedback on the </w:t>
      </w:r>
      <w:r>
        <w:rPr>
          <w:rFonts w:cs="Arial"/>
        </w:rPr>
        <w:t>1</w:t>
      </w:r>
      <w:r w:rsidRPr="00D54611">
        <w:rPr>
          <w:rFonts w:cs="Arial"/>
          <w:vertAlign w:val="superscript"/>
        </w:rPr>
        <w:t>st</w:t>
      </w:r>
      <w:r>
        <w:rPr>
          <w:rFonts w:cs="Arial"/>
        </w:rPr>
        <w:t xml:space="preserve"> Part. I may set due </w:t>
      </w:r>
      <w:proofErr w:type="gramStart"/>
      <w:r>
        <w:rPr>
          <w:rFonts w:cs="Arial"/>
        </w:rPr>
        <w:t>dates</w:t>
      </w:r>
      <w:proofErr w:type="gramEnd"/>
      <w:r>
        <w:rPr>
          <w:rFonts w:cs="Arial"/>
        </w:rPr>
        <w:t xml:space="preserve"> specific to your class based on when I return feedback to your class. </w:t>
      </w:r>
      <w:r w:rsidR="00B60359">
        <w:rPr>
          <w:rFonts w:cs="Arial"/>
        </w:rPr>
        <w:t>If I have to change the dates specified, I will reissue the List of Due Dates.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D54611">
        <w:trPr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Do the 4 Evidence Self-Tests on basics of evidence in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history.</w:t>
            </w:r>
            <w:proofErr w:type="gramEnd"/>
            <w:r w:rsidRPr="00933766">
              <w:rPr>
                <w:rFonts w:ascii="Calibri" w:eastAsia="Times New Roman" w:hAnsi="Calibri" w:cs="Calibri"/>
              </w:rPr>
              <w:t xml:space="preserve"> (If you do not make 80% on each Self-Test </w:t>
            </w:r>
            <w:r w:rsidRPr="00933766">
              <w:rPr>
                <w:rFonts w:ascii="Calibri" w:eastAsia="Times New Roman" w:hAnsi="Calibri" w:cs="Calibri"/>
              </w:rPr>
              <w:lastRenderedPageBreak/>
              <w:t>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lastRenderedPageBreak/>
              <w:t>1/29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Lab to do 4 Self-Tests on Evidence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Quizzes  1</w:t>
            </w:r>
            <w:proofErr w:type="gramEnd"/>
            <w:r w:rsidRPr="00933766">
              <w:rPr>
                <w:rFonts w:ascii="Calibri" w:eastAsia="Times New Roman" w:hAnsi="Calibri" w:cs="Calibri"/>
              </w:rPr>
              <w:t>/31. (You have until 2/10 to do the 4 Full-</w:t>
            </w:r>
            <w:r w:rsidRPr="00933766">
              <w:rPr>
                <w:rFonts w:ascii="Calibri" w:eastAsia="Times New Roman" w:hAnsi="Calibri" w:cs="Calibri"/>
              </w:rPr>
              <w:lastRenderedPageBreak/>
              <w:t xml:space="preserve">Tests to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80%</w:t>
            </w:r>
            <w:proofErr w:type="gramEnd"/>
            <w:r w:rsidRPr="0093376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lastRenderedPageBreak/>
              <w:t xml:space="preserve">40 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611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Practice with evidence using textbook pages applicable to the 3</w:t>
            </w:r>
            <w:r>
              <w:rPr>
                <w:rFonts w:ascii="Calibri" w:eastAsia="Times New Roman" w:hAnsi="Calibri" w:cs="Calibri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</w:rPr>
              <w:t xml:space="preserve"> Part and provided in Blackboard so you can read ahead. A Prof’s Demo with a handout so you can create your own “cheat sheet” on how to cite that you bring into the class for the in-class writing (20 points).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about ½ page on notebook paper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>ou must have readable handwriting or you must 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2/5 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2/12 (est.)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Pr="009808AC">
              <w:rPr>
                <w:rFonts w:ascii="Calibri" w:eastAsia="Times New Roman" w:hAnsi="Calibri" w:cs="Calibri"/>
                <w:b/>
              </w:rPr>
              <w:t>class day</w:t>
            </w:r>
            <w:r>
              <w:rPr>
                <w:rFonts w:ascii="Calibri" w:eastAsia="Times New Roman" w:hAnsi="Calibri" w:cs="Calibri"/>
              </w:rPr>
              <w:t xml:space="preserve"> – 2/14(est.) In-class writing (Your </w:t>
            </w:r>
            <w:r w:rsidRPr="00D2328C">
              <w:rPr>
                <w:rFonts w:ascii="Calibri" w:eastAsia="Times New Roman" w:hAnsi="Calibri" w:cs="Calibri"/>
              </w:rPr>
              <w:t>Instructor provides</w:t>
            </w:r>
            <w:r>
              <w:rPr>
                <w:rFonts w:ascii="Calibri" w:eastAsia="Times New Roman" w:hAnsi="Calibri" w:cs="Calibri"/>
              </w:rPr>
              <w:t xml:space="preserve"> notebook </w:t>
            </w:r>
            <w:r w:rsidRPr="00D2328C">
              <w:rPr>
                <w:rFonts w:ascii="Calibri" w:eastAsia="Times New Roman" w:hAnsi="Calibri" w:cs="Calibri"/>
              </w:rPr>
              <w:t>paper and copies of</w:t>
            </w:r>
            <w:r>
              <w:rPr>
                <w:rFonts w:ascii="Calibri" w:eastAsia="Times New Roman" w:hAnsi="Calibri" w:cs="Calibri"/>
              </w:rPr>
              <w:t xml:space="preserve"> textbook pages; y</w:t>
            </w:r>
            <w:r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 your “</w:t>
            </w:r>
            <w:proofErr w:type="spellStart"/>
            <w:r>
              <w:rPr>
                <w:rFonts w:ascii="Calibri" w:eastAsia="Times New Roman" w:hAnsi="Calibri" w:cs="Calibri"/>
              </w:rPr>
              <w:t>cheatsheet</w:t>
            </w:r>
            <w:proofErr w:type="spellEnd"/>
            <w:r>
              <w:rPr>
                <w:rFonts w:ascii="Calibri" w:eastAsia="Times New Roman" w:hAnsi="Calibri" w:cs="Calibri"/>
              </w:rPr>
              <w:t>.”)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Pr="00A51BA9">
              <w:rPr>
                <w:rFonts w:ascii="Calibri" w:eastAsia="Times New Roman" w:hAnsi="Calibri" w:cs="Calibri"/>
                <w:b/>
              </w:rPr>
              <w:t>Grading:</w:t>
            </w:r>
            <w:r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 (60 + 20)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(70 points) per the grading Checklist. </w:t>
            </w:r>
            <w:r>
              <w:rPr>
                <w:rFonts w:cs="Arial"/>
              </w:rPr>
              <w:t xml:space="preserve">These are the </w:t>
            </w:r>
            <w:r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2 new items (5,5) in the folder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2/17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 2/19 (est.)</w:t>
            </w:r>
          </w:p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Turnitin- 3/6</w:t>
            </w:r>
            <w:r>
              <w:rPr>
                <w:rFonts w:ascii="Calibri" w:eastAsia="Times New Roman" w:hAnsi="Calibri" w:cs="Calibri"/>
              </w:rPr>
              <w:t xml:space="preserve"> (est.)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instructor– 3/7 </w:t>
            </w:r>
            <w:r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 (70 + 5 +5)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100551" w:rsidP="0010055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10055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Part</w:t>
            </w:r>
            <w:r w:rsidR="00A328CE">
              <w:rPr>
                <w:rFonts w:cs="Arial"/>
              </w:rPr>
              <w:t xml:space="preserve">: Your </w:t>
            </w:r>
            <w:r>
              <w:rPr>
                <w:rFonts w:cs="Arial"/>
              </w:rPr>
              <w:t>2</w:t>
            </w:r>
            <w:r w:rsidRPr="00100551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 </w:t>
            </w:r>
            <w:r w:rsidR="00A328CE">
              <w:rPr>
                <w:rFonts w:cs="Arial"/>
              </w:rPr>
              <w:t xml:space="preserve">paper </w:t>
            </w:r>
            <w:r>
              <w:rPr>
                <w:rFonts w:cs="Arial"/>
              </w:rPr>
              <w:t xml:space="preserve">now </w:t>
            </w:r>
            <w:r w:rsidR="00A328CE">
              <w:rPr>
                <w:rFonts w:cs="Arial"/>
              </w:rPr>
              <w:t>with primaries (60 points, 30 for content, 30 for the Good Habits for Evidence) 4 Items in folder, 2 new items in folder (5</w:t>
            </w:r>
            <w:proofErr w:type="gramStart"/>
            <w:r w:rsidR="00A328CE">
              <w:rPr>
                <w:rFonts w:cs="Arial"/>
              </w:rPr>
              <w:t>,5</w:t>
            </w:r>
            <w:proofErr w:type="gramEnd"/>
            <w:r w:rsidR="00A328CE">
              <w:rPr>
                <w:rFonts w:cs="Arial"/>
              </w:rPr>
              <w:t xml:space="preserve">) </w:t>
            </w:r>
            <w:r w:rsidR="00A328CE"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 w:rsidR="00A328CE">
              <w:rPr>
                <w:rFonts w:cs="Arial"/>
              </w:rPr>
              <w:t xml:space="preserve"> You can also make an appointment for feedback with your professor </w:t>
            </w:r>
            <w:r w:rsidR="00A328CE">
              <w:rPr>
                <w:rFonts w:cs="Arial"/>
                <w:b/>
              </w:rPr>
              <w:t xml:space="preserve">before </w:t>
            </w:r>
            <w:r w:rsidR="00A328CE">
              <w:rPr>
                <w:rFonts w:cs="Arial"/>
              </w:rPr>
              <w:t xml:space="preserve">your submit.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3/3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Turnitin- 4/14 </w:t>
            </w:r>
            <w:r>
              <w:rPr>
                <w:rFonts w:ascii="Calibri" w:eastAsia="Times New Roman" w:hAnsi="Calibri" w:cs="Calibri"/>
              </w:rPr>
              <w:t>(est.)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-4/16 </w:t>
            </w:r>
            <w:r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933766">
            <w:pPr>
              <w:spacing w:after="0"/>
            </w:pPr>
            <w:r>
              <w:t>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82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933766">
            <w:pPr>
              <w:spacing w:after="0"/>
            </w:pPr>
            <w:r>
              <w:t>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933766">
            <w:pPr>
              <w:spacing w:after="0"/>
            </w:pPr>
            <w:r>
              <w:t>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48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D568D9">
      <w:pPr>
        <w:pStyle w:val="Heading3"/>
        <w:spacing w:before="120"/>
        <w:rPr>
          <w:rFonts w:eastAsia="Calibri"/>
        </w:rPr>
      </w:pPr>
      <w:hyperlink r:id="rId8" w:history="1">
        <w:r w:rsidR="009E4438">
          <w:rPr>
            <w:rStyle w:val="Hyperlink"/>
            <w:color w:val="auto"/>
            <w:u w:val="none"/>
          </w:rPr>
          <w:t>Final Exam: 1860 to the Present–Includes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025"/>
        <w:gridCol w:w="720"/>
        <w:gridCol w:w="3402"/>
        <w:gridCol w:w="658"/>
      </w:tblGrid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5/14, 8 AM class: 8:00AM-10:00AM</w:t>
            </w:r>
          </w:p>
          <w:p w:rsidR="005C3A1E" w:rsidRDefault="005C3A1E">
            <w:pPr>
              <w:spacing w:after="0"/>
            </w:pPr>
            <w:r>
              <w:t>5/14, 10:50 class: 10:15AM-12:15PM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BF3EEB">
            <w:pPr>
              <w:spacing w:after="0"/>
            </w:pPr>
            <w:r>
              <w:t>Your Preparation: Review all grades. If a problem, email me.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 xml:space="preserve">5/15 </w:t>
            </w:r>
            <w:r w:rsidRPr="00413860">
              <w:rPr>
                <w:rStyle w:val="Strong"/>
              </w:rPr>
              <w:t>before</w:t>
            </w:r>
            <w:r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C5383D" w:rsidRDefault="00C5383D" w:rsidP="00C5383D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C5383D" w:rsidSect="00C5383D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D9" w:rsidRDefault="00D568D9">
      <w:pPr>
        <w:spacing w:after="0" w:line="240" w:lineRule="auto"/>
      </w:pPr>
      <w:r>
        <w:separator/>
      </w:r>
    </w:p>
  </w:endnote>
  <w:endnote w:type="continuationSeparator" w:id="0">
    <w:p w:rsidR="00D568D9" w:rsidRDefault="00D5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4C" w:rsidRDefault="00532B4C" w:rsidP="00E0332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D9" w:rsidRDefault="00D568D9">
      <w:pPr>
        <w:spacing w:after="0" w:line="240" w:lineRule="auto"/>
      </w:pPr>
      <w:r>
        <w:separator/>
      </w:r>
    </w:p>
  </w:footnote>
  <w:footnote w:type="continuationSeparator" w:id="0">
    <w:p w:rsidR="00D568D9" w:rsidRDefault="00D5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0362"/>
    <w:rsid w:val="00054EAE"/>
    <w:rsid w:val="000A3455"/>
    <w:rsid w:val="000B3A5C"/>
    <w:rsid w:val="000E2863"/>
    <w:rsid w:val="00100551"/>
    <w:rsid w:val="00100929"/>
    <w:rsid w:val="00102970"/>
    <w:rsid w:val="001233AA"/>
    <w:rsid w:val="00145E62"/>
    <w:rsid w:val="00146BFD"/>
    <w:rsid w:val="00150531"/>
    <w:rsid w:val="00181F68"/>
    <w:rsid w:val="001D225F"/>
    <w:rsid w:val="001E5198"/>
    <w:rsid w:val="00250FB0"/>
    <w:rsid w:val="0028600D"/>
    <w:rsid w:val="0031591F"/>
    <w:rsid w:val="00316DE6"/>
    <w:rsid w:val="00354CD7"/>
    <w:rsid w:val="003D0094"/>
    <w:rsid w:val="003D1013"/>
    <w:rsid w:val="00413860"/>
    <w:rsid w:val="00415320"/>
    <w:rsid w:val="00421830"/>
    <w:rsid w:val="00442AC1"/>
    <w:rsid w:val="004720F0"/>
    <w:rsid w:val="00485090"/>
    <w:rsid w:val="00495E0F"/>
    <w:rsid w:val="004B1FCC"/>
    <w:rsid w:val="004D3F20"/>
    <w:rsid w:val="004F4766"/>
    <w:rsid w:val="00503874"/>
    <w:rsid w:val="00520E1A"/>
    <w:rsid w:val="00532B4C"/>
    <w:rsid w:val="00541BB5"/>
    <w:rsid w:val="005A4BC9"/>
    <w:rsid w:val="005C3A1E"/>
    <w:rsid w:val="005C5FAB"/>
    <w:rsid w:val="005F55E6"/>
    <w:rsid w:val="00607BD2"/>
    <w:rsid w:val="00644A33"/>
    <w:rsid w:val="00657816"/>
    <w:rsid w:val="00673F09"/>
    <w:rsid w:val="006B0BA0"/>
    <w:rsid w:val="006B1F0B"/>
    <w:rsid w:val="006D41A3"/>
    <w:rsid w:val="006D7953"/>
    <w:rsid w:val="006F5C35"/>
    <w:rsid w:val="00745C5F"/>
    <w:rsid w:val="00751282"/>
    <w:rsid w:val="00757DEB"/>
    <w:rsid w:val="00760364"/>
    <w:rsid w:val="00784200"/>
    <w:rsid w:val="007A639F"/>
    <w:rsid w:val="007D136C"/>
    <w:rsid w:val="007E3337"/>
    <w:rsid w:val="007E3D2A"/>
    <w:rsid w:val="007F7E9B"/>
    <w:rsid w:val="00876298"/>
    <w:rsid w:val="008C1BC9"/>
    <w:rsid w:val="008F7DEF"/>
    <w:rsid w:val="009164E5"/>
    <w:rsid w:val="0092645C"/>
    <w:rsid w:val="0093042A"/>
    <w:rsid w:val="00933766"/>
    <w:rsid w:val="009823D9"/>
    <w:rsid w:val="00997783"/>
    <w:rsid w:val="009D3D52"/>
    <w:rsid w:val="009E4438"/>
    <w:rsid w:val="00A0146C"/>
    <w:rsid w:val="00A21674"/>
    <w:rsid w:val="00A30732"/>
    <w:rsid w:val="00A328CE"/>
    <w:rsid w:val="00A40A9F"/>
    <w:rsid w:val="00A601F2"/>
    <w:rsid w:val="00A6230C"/>
    <w:rsid w:val="00A67015"/>
    <w:rsid w:val="00A976DE"/>
    <w:rsid w:val="00AB3CCD"/>
    <w:rsid w:val="00AC0EC7"/>
    <w:rsid w:val="00AD1D8D"/>
    <w:rsid w:val="00B04F25"/>
    <w:rsid w:val="00B60359"/>
    <w:rsid w:val="00B70CB3"/>
    <w:rsid w:val="00BD195B"/>
    <w:rsid w:val="00BF3EEB"/>
    <w:rsid w:val="00BF6661"/>
    <w:rsid w:val="00C23096"/>
    <w:rsid w:val="00C47B92"/>
    <w:rsid w:val="00C50D5C"/>
    <w:rsid w:val="00C5383D"/>
    <w:rsid w:val="00C56A54"/>
    <w:rsid w:val="00C7243C"/>
    <w:rsid w:val="00C83E4A"/>
    <w:rsid w:val="00CA726C"/>
    <w:rsid w:val="00CA7303"/>
    <w:rsid w:val="00CD5297"/>
    <w:rsid w:val="00CF45EF"/>
    <w:rsid w:val="00CF7C0A"/>
    <w:rsid w:val="00D04F0D"/>
    <w:rsid w:val="00D15596"/>
    <w:rsid w:val="00D25BAD"/>
    <w:rsid w:val="00D508A0"/>
    <w:rsid w:val="00D54611"/>
    <w:rsid w:val="00D568D9"/>
    <w:rsid w:val="00D667C5"/>
    <w:rsid w:val="00D9151F"/>
    <w:rsid w:val="00DB0CB3"/>
    <w:rsid w:val="00DF66D1"/>
    <w:rsid w:val="00E0332C"/>
    <w:rsid w:val="00E07656"/>
    <w:rsid w:val="00E3195C"/>
    <w:rsid w:val="00E3692D"/>
    <w:rsid w:val="00E61F62"/>
    <w:rsid w:val="00E707C9"/>
    <w:rsid w:val="00E77D2A"/>
    <w:rsid w:val="00E818A6"/>
    <w:rsid w:val="00E97DAD"/>
    <w:rsid w:val="00EA74E1"/>
    <w:rsid w:val="00ED68C0"/>
    <w:rsid w:val="00ED6D53"/>
    <w:rsid w:val="00EE39A0"/>
    <w:rsid w:val="00F06E63"/>
    <w:rsid w:val="00F26310"/>
    <w:rsid w:val="00F57768"/>
    <w:rsid w:val="00F72BC3"/>
    <w:rsid w:val="00F91442"/>
    <w:rsid w:val="00F94138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D14F17-E137-4983-8057-A2B0457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i_1302_main_syllab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2019-01-21T14:40:00Z</cp:lastPrinted>
  <dcterms:created xsi:type="dcterms:W3CDTF">2019-03-12T14:14:00Z</dcterms:created>
  <dcterms:modified xsi:type="dcterms:W3CDTF">2019-03-12T14:14:00Z</dcterms:modified>
</cp:coreProperties>
</file>