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F5" w:rsidRPr="00841099" w:rsidRDefault="000275F5" w:rsidP="007A18DA">
      <w:pPr>
        <w:pStyle w:val="Heading2"/>
        <w:rPr>
          <w:rFonts w:eastAsia="Times New Roman" w:cstheme="minorHAnsi"/>
        </w:rPr>
      </w:pPr>
      <w:bookmarkStart w:id="0" w:name="_Toc62673039"/>
      <w:r w:rsidRPr="00841099">
        <w:rPr>
          <w:rFonts w:eastAsia="Times New Roman" w:cstheme="minorHAnsi"/>
        </w:rPr>
        <w:t>Course Information</w:t>
      </w:r>
      <w:bookmarkEnd w:id="0"/>
    </w:p>
    <w:p w:rsidR="000275F5" w:rsidRPr="00841099" w:rsidRDefault="000275F5" w:rsidP="000275F5">
      <w:pPr>
        <w:pStyle w:val="Heading3"/>
        <w:rPr>
          <w:rFonts w:eastAsia="Times New Roman" w:cstheme="minorHAnsi"/>
          <w:b w:val="0"/>
        </w:rPr>
      </w:pPr>
      <w:bookmarkStart w:id="1" w:name="_Toc62673040"/>
      <w:r w:rsidRPr="00841099">
        <w:rPr>
          <w:rFonts w:eastAsia="Times New Roman" w:cstheme="minorHAnsi"/>
        </w:rPr>
        <w:t>Prerequisites:</w:t>
      </w:r>
      <w:bookmarkEnd w:id="1"/>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2" w:name="_Toc62673041"/>
      <w:r>
        <w:rPr>
          <w:rFonts w:eastAsia="Times New Roman" w:cstheme="minorHAnsi"/>
        </w:rPr>
        <w:t>Communication Policy</w:t>
      </w:r>
      <w:bookmarkEnd w:id="2"/>
      <w:r>
        <w:rPr>
          <w:rFonts w:eastAsia="Times New Roman" w:cstheme="minorHAnsi"/>
        </w:rPr>
        <w:t xml:space="preserve"> </w:t>
      </w:r>
    </w:p>
    <w:p w:rsidR="009D220A" w:rsidRDefault="009D220A" w:rsidP="0025390E">
      <w:pPr>
        <w:pStyle w:val="Heading3"/>
        <w:rPr>
          <w:rFonts w:eastAsia="Times New Roman" w:cstheme="minorHAnsi"/>
        </w:rPr>
      </w:pPr>
      <w:bookmarkStart w:id="3" w:name="_Toc62673042"/>
      <w:r>
        <w:rPr>
          <w:rFonts w:eastAsia="Times New Roman" w:cstheme="minorHAnsi"/>
        </w:rPr>
        <w:t>Online Office Hours - Google Voice # - Required Email</w:t>
      </w:r>
      <w:bookmarkEnd w:id="3"/>
      <w:r>
        <w:rPr>
          <w:rFonts w:eastAsia="Times New Roman" w:cstheme="minorHAnsi"/>
        </w:rPr>
        <w:t xml:space="preserve"> </w:t>
      </w:r>
    </w:p>
    <w:p w:rsidR="009D220A" w:rsidRPr="00254267" w:rsidRDefault="007F7CAE" w:rsidP="006856E0">
      <w:pPr>
        <w:pStyle w:val="ListParagraph"/>
        <w:numPr>
          <w:ilvl w:val="0"/>
          <w:numId w:val="19"/>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6856E0">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00475A28">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Pr="0025390E" w:rsidRDefault="009D220A" w:rsidP="0025390E">
      <w:pPr>
        <w:pStyle w:val="Heading3"/>
        <w:rPr>
          <w:rFonts w:eastAsia="Times New Roman" w:cstheme="minorHAnsi"/>
        </w:rPr>
      </w:pPr>
      <w:bookmarkStart w:id="4" w:name="_Toc62673043"/>
      <w:r w:rsidRPr="0025390E">
        <w:rPr>
          <w:rFonts w:eastAsia="Times New Roman" w:cstheme="minorHAnsi"/>
        </w:rPr>
        <w:t>Online Office Hours</w:t>
      </w:r>
      <w:r w:rsidR="0025390E">
        <w:rPr>
          <w:rFonts w:eastAsia="Times New Roman" w:cstheme="minorHAnsi"/>
        </w:rPr>
        <w:t xml:space="preserve"> and On-Campus Hours</w:t>
      </w:r>
      <w:bookmarkEnd w:id="4"/>
    </w:p>
    <w:p w:rsidR="009D220A" w:rsidRPr="001D7014" w:rsidRDefault="009D220A" w:rsidP="006856E0">
      <w:pPr>
        <w:pStyle w:val="ListParagraph"/>
        <w:numPr>
          <w:ilvl w:val="0"/>
          <w:numId w:val="18"/>
        </w:numPr>
        <w:rPr>
          <w:rFonts w:cstheme="minorHAnsi"/>
        </w:rPr>
      </w:pPr>
      <w:r>
        <w:rPr>
          <w:rFonts w:cstheme="minorHAnsi"/>
        </w:rPr>
        <w:t>Monday 10 AM-12</w:t>
      </w:r>
      <w:r w:rsidR="0000323E">
        <w:rPr>
          <w:rFonts w:cstheme="minorHAnsi"/>
        </w:rPr>
        <w:t xml:space="preserve"> PM</w:t>
      </w:r>
    </w:p>
    <w:p w:rsidR="009D220A" w:rsidRPr="001D7014" w:rsidRDefault="0000323E" w:rsidP="006856E0">
      <w:pPr>
        <w:pStyle w:val="ListParagraph"/>
        <w:numPr>
          <w:ilvl w:val="0"/>
          <w:numId w:val="18"/>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6856E0">
      <w:pPr>
        <w:pStyle w:val="ListParagraph"/>
        <w:numPr>
          <w:ilvl w:val="0"/>
          <w:numId w:val="18"/>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6856E0">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lastRenderedPageBreak/>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5" w:name="_Toc62673044"/>
      <w:r w:rsidRPr="00841099">
        <w:rPr>
          <w:rFonts w:eastAsia="Times New Roman" w:cstheme="minorHAnsi"/>
        </w:rPr>
        <w:t>General Education Core Objectives:</w:t>
      </w:r>
      <w:bookmarkEnd w:id="5"/>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6" w:name="_Toc62673045"/>
      <w:r>
        <w:rPr>
          <w:rFonts w:eastAsia="Times New Roman" w:cstheme="minorHAnsi"/>
        </w:rPr>
        <w:t xml:space="preserve">History Department </w:t>
      </w:r>
      <w:r w:rsidRPr="00A40913">
        <w:rPr>
          <w:rFonts w:eastAsia="Times New Roman" w:cstheme="minorHAnsi"/>
          <w:shd w:val="clear" w:color="auto" w:fill="FFC000"/>
        </w:rPr>
        <w:t>Student Learner Outcomes</w:t>
      </w:r>
      <w:r w:rsidRPr="00841099">
        <w:rPr>
          <w:rFonts w:eastAsia="Times New Roman" w:cstheme="minorHAnsi"/>
        </w:rPr>
        <w:t>:</w:t>
      </w:r>
      <w:bookmarkEnd w:id="6"/>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B31104" w:rsidRPr="007C4DBD" w:rsidRDefault="000275F5" w:rsidP="00B31104">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7" w:name="_Toc62673046"/>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7"/>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w:t>
      </w:r>
      <w:r w:rsidR="00AE0903">
        <w:rPr>
          <w:rFonts w:ascii="Calibri" w:eastAsia="Times New Roman" w:hAnsi="Calibri" w:cs="Times New Roman"/>
          <w:color w:val="000000"/>
        </w:rPr>
        <w:t>1st Part F.I.O. Project</w:t>
      </w:r>
      <w:r w:rsidR="0024277C">
        <w:rPr>
          <w:rFonts w:eastAsia="Calibri"/>
        </w:rPr>
        <w:t>.</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8" w:name="_Toc62673047"/>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8"/>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6856E0">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6856E0">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6856E0">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6856E0">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9" w:name="_Toc62673048"/>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9"/>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sidR="003A333C">
        <w:rPr>
          <w:rFonts w:eastAsia="Times New Roman" w:cstheme="minorHAnsi"/>
        </w:rPr>
        <w:t xml:space="preserve">profs place </w:t>
      </w:r>
      <w:r>
        <w:rPr>
          <w:rFonts w:eastAsia="Times New Roman" w:cstheme="minorHAnsi"/>
        </w:rPr>
        <w:t xml:space="preserve">in </w:t>
      </w:r>
      <w:r w:rsidR="00FE2B19" w:rsidRPr="00390A70">
        <w:rPr>
          <w:rStyle w:val="Strong"/>
        </w:rPr>
        <w:t>one</w:t>
      </w:r>
      <w:r w:rsidR="003A333C">
        <w:rPr>
          <w:rFonts w:eastAsia="Times New Roman" w:cstheme="minorHAnsi"/>
        </w:rPr>
        <w:t xml:space="preserve"> folder</w:t>
      </w:r>
      <w:r>
        <w:rPr>
          <w:rFonts w:eastAsia="Times New Roman" w:cstheme="minorHAnsi"/>
        </w:rPr>
        <w:t xml:space="preserv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A333C">
        <w:rPr>
          <w:rFonts w:eastAsia="Times New Roman" w:cstheme="minorHAnsi"/>
        </w:rPr>
        <w:t xml:space="preserve"> The course</w:t>
      </w:r>
      <w:r w:rsidR="00A97A1A">
        <w:rPr>
          <w:rFonts w:eastAsia="Times New Roman" w:cstheme="minorHAnsi"/>
        </w:rPr>
        <w:t xml:space="preserve">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B843F5">
        <w:rPr>
          <w:rStyle w:val="Strong"/>
          <w:shd w:val="clear" w:color="auto" w:fill="FFC000"/>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F.I.O. Projects</w:t>
      </w:r>
      <w:r w:rsidR="003A333C">
        <w:rPr>
          <w:rFonts w:eastAsia="Times New Roman" w:cstheme="minorHAnsi"/>
        </w:rPr>
        <w:t xml:space="preserve"> in this class</w:t>
      </w:r>
      <w:r w:rsidR="0071026A">
        <w:rPr>
          <w:rFonts w:eastAsia="Times New Roman" w:cstheme="minorHAnsi"/>
        </w:rPr>
        <w:t xml:space="preserve">)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w:t>
      </w:r>
      <w:r w:rsidR="003A333C">
        <w:rPr>
          <w:rFonts w:eastAsia="Times New Roman" w:cstheme="minorHAnsi"/>
        </w:rPr>
        <w:t xml:space="preserve"> projects</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0" w:name="_Toc62673049"/>
      <w:r w:rsidRPr="00841099">
        <w:rPr>
          <w:rFonts w:eastAsia="Times New Roman" w:cstheme="minorHAnsi"/>
        </w:rPr>
        <w:t>Organization of the Course</w:t>
      </w:r>
      <w:r>
        <w:rPr>
          <w:rFonts w:eastAsia="Times New Roman" w:cstheme="minorHAnsi"/>
        </w:rPr>
        <w:t>:</w:t>
      </w:r>
      <w:r w:rsidR="00B843F5">
        <w:rPr>
          <w:rFonts w:eastAsia="Times New Roman" w:cstheme="minorHAnsi"/>
        </w:rPr>
        <w:t xml:space="preserve"> 1</w:t>
      </w:r>
      <w:r w:rsidR="00B843F5" w:rsidRPr="00B843F5">
        <w:rPr>
          <w:rFonts w:eastAsia="Times New Roman" w:cstheme="minorHAnsi"/>
          <w:vertAlign w:val="superscript"/>
        </w:rPr>
        <w:t>st</w:t>
      </w:r>
      <w:r w:rsidR="00B843F5">
        <w:rPr>
          <w:rFonts w:eastAsia="Times New Roman" w:cstheme="minorHAnsi"/>
        </w:rPr>
        <w:t xml:space="preserve"> list is for US HISTORY 1; the 2</w:t>
      </w:r>
      <w:r w:rsidR="00B843F5" w:rsidRPr="00B843F5">
        <w:rPr>
          <w:rFonts w:eastAsia="Times New Roman" w:cstheme="minorHAnsi"/>
          <w:vertAlign w:val="superscript"/>
        </w:rPr>
        <w:t>nd</w:t>
      </w:r>
      <w:r w:rsidR="00B843F5">
        <w:rPr>
          <w:rFonts w:eastAsia="Times New Roman" w:cstheme="minorHAnsi"/>
        </w:rPr>
        <w:t xml:space="preserve"> for US HISTORY II</w:t>
      </w:r>
      <w:bookmarkEnd w:id="10"/>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1" w:name="_Toc62673050"/>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1"/>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3A333C">
        <w:rPr>
          <w:rFonts w:eastAsia="Times New Roman" w:cstheme="minorHAnsi"/>
          <w:bCs/>
        </w:rPr>
        <w:t xml:space="preserve"> </w:t>
      </w:r>
      <w:r w:rsidR="009C19DC">
        <w:rPr>
          <w:rFonts w:eastAsia="Times New Roman" w:cstheme="minorHAnsi"/>
          <w:bCs/>
        </w:rPr>
        <w:t>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3A333C">
        <w:rPr>
          <w:rFonts w:eastAsia="Times New Roman" w:cstheme="minorHAnsi"/>
          <w:bCs/>
        </w:rPr>
        <w:t>all content and grades</w:t>
      </w:r>
      <w:r w:rsidR="00BF3623" w:rsidRPr="00261D7C">
        <w:rPr>
          <w:rFonts w:eastAsia="Times New Roman" w:cstheme="minorHAnsi"/>
          <w:bCs/>
        </w:rPr>
        <w:t xml:space="preserve">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2" w:name="_Toc62673051"/>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2"/>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6856E0">
      <w:pPr>
        <w:pStyle w:val="ListParagraph"/>
        <w:numPr>
          <w:ilvl w:val="0"/>
          <w:numId w:val="23"/>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6856E0">
      <w:pPr>
        <w:pStyle w:val="ListParagraph"/>
        <w:numPr>
          <w:ilvl w:val="0"/>
          <w:numId w:val="23"/>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r w:rsidR="003A333C">
        <w:t>s</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6856E0">
      <w:pPr>
        <w:pStyle w:val="ListParagraph"/>
        <w:numPr>
          <w:ilvl w:val="0"/>
          <w:numId w:val="22"/>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6856E0">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6856E0">
      <w:pPr>
        <w:pStyle w:val="ListParagraph"/>
        <w:numPr>
          <w:ilvl w:val="1"/>
          <w:numId w:val="22"/>
        </w:numPr>
      </w:pPr>
      <w:r>
        <w:t>Answer carefully</w:t>
      </w:r>
      <w:r w:rsidR="009E4541">
        <w:t>.</w:t>
      </w:r>
    </w:p>
    <w:p w:rsidR="003A755B" w:rsidRDefault="003A755B" w:rsidP="006856E0">
      <w:pPr>
        <w:pStyle w:val="ListParagraph"/>
        <w:numPr>
          <w:ilvl w:val="1"/>
          <w:numId w:val="22"/>
        </w:numPr>
      </w:pPr>
      <w:r>
        <w:t>Double check your answers before you submit.</w:t>
      </w:r>
    </w:p>
    <w:p w:rsidR="00C93414" w:rsidRDefault="003A755B" w:rsidP="006856E0">
      <w:pPr>
        <w:pStyle w:val="ListParagraph"/>
        <w:numPr>
          <w:ilvl w:val="0"/>
          <w:numId w:val="22"/>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6856E0">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3" w:name="_Toc62673052"/>
      <w:r w:rsidRPr="00841099">
        <w:rPr>
          <w:rFonts w:eastAsia="Times New Roman" w:cstheme="minorHAnsi"/>
        </w:rPr>
        <w:t>Course Requirements</w:t>
      </w:r>
      <w:r>
        <w:rPr>
          <w:rFonts w:eastAsia="Times New Roman" w:cstheme="minorHAnsi"/>
        </w:rPr>
        <w:t xml:space="preserve"> and Graded Assignments</w:t>
      </w:r>
      <w:bookmarkEnd w:id="13"/>
    </w:p>
    <w:p w:rsidR="003E77A6" w:rsidRPr="00841099" w:rsidRDefault="003E77A6" w:rsidP="000275F5">
      <w:pPr>
        <w:pStyle w:val="Heading3"/>
        <w:rPr>
          <w:rFonts w:eastAsia="Times New Roman" w:cstheme="minorHAnsi"/>
        </w:rPr>
      </w:pPr>
      <w:bookmarkStart w:id="14"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4"/>
    </w:p>
    <w:p w:rsidR="000275F5"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15" w:name="_Toc62673054"/>
      <w:r>
        <w:t>Learning Qu</w:t>
      </w:r>
      <w:r w:rsidR="00B9735C">
        <w:t>izzes and</w:t>
      </w:r>
      <w:r w:rsidR="00B33934">
        <w:t xml:space="preserve"> </w:t>
      </w:r>
      <w:r w:rsidR="00354627" w:rsidRPr="00B9735C">
        <w:rPr>
          <w:rStyle w:val="Strong"/>
          <w:b/>
        </w:rPr>
        <w:t>Pre-Learning</w:t>
      </w:r>
      <w:r w:rsidR="00354627">
        <w:t xml:space="preserve"> </w:t>
      </w:r>
      <w:r w:rsidR="00B51A41">
        <w:t>Questions for the Exams and Pre-Earning Points for Your</w:t>
      </w:r>
      <w:r w:rsidR="00354627">
        <w:t xml:space="preserve"> </w:t>
      </w:r>
      <w:r w:rsidR="00B51A41">
        <w:t>Total</w:t>
      </w:r>
      <w:bookmarkEnd w:id="15"/>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B51A41">
        <w:t>32%</w:t>
      </w:r>
      <w:r w:rsidR="00B33934">
        <w:t>) of the 25 questions on each Unit exam</w:t>
      </w:r>
      <w:r w:rsidR="00B51A41">
        <w:t xml:space="preserve">: you can </w:t>
      </w:r>
      <w:r w:rsidR="00B51A41" w:rsidRPr="00C93414">
        <w:rPr>
          <w:rStyle w:val="Strong"/>
        </w:rPr>
        <w:t>pre-learn</w:t>
      </w:r>
      <w:r w:rsidR="00B51A41">
        <w:t xml:space="preserve"> those questions. Learning Quizzes</w:t>
      </w:r>
      <w:r w:rsidR="00F26E15">
        <w:t xml:space="preserve"> in Unit 1, 2, and </w:t>
      </w:r>
      <w:r w:rsidR="00390A70">
        <w:t>3 also</w:t>
      </w:r>
      <w:r w:rsidR="00B51A41">
        <w:t xml:space="preserve"> let you </w:t>
      </w:r>
      <w:r w:rsidR="00C93414" w:rsidRPr="00144F7C">
        <w:rPr>
          <w:rStyle w:val="Strong"/>
        </w:rPr>
        <w:t>pre-earn</w:t>
      </w:r>
      <w:r w:rsidR="00C93414">
        <w:t xml:space="preserve"> 2</w:t>
      </w:r>
      <w:r w:rsidR="00B51A41">
        <w:t>0</w:t>
      </w:r>
      <w:r w:rsidR="00F26E15">
        <w:t>% of the T</w:t>
      </w:r>
      <w:r w:rsidR="00C93414">
        <w:t>otal</w:t>
      </w:r>
      <w:r w:rsidR="00F26E15">
        <w:t xml:space="preserve"> points</w:t>
      </w:r>
      <w:r w:rsidR="00C93414">
        <w:t>.</w:t>
      </w:r>
    </w:p>
    <w:p w:rsidR="00F97A79" w:rsidRDefault="00F97A79" w:rsidP="00F97A79">
      <w:pPr>
        <w:pStyle w:val="Heading3"/>
      </w:pPr>
      <w:bookmarkStart w:id="16" w:name="_Toc62673055"/>
      <w:r w:rsidRPr="00F97A79">
        <w:t xml:space="preserve">Unit </w:t>
      </w:r>
      <w:r>
        <w:t>Question &amp; Answers (Unit Q</w:t>
      </w:r>
      <w:r w:rsidR="00F301CD">
        <w:t xml:space="preserve"> </w:t>
      </w:r>
      <w:r>
        <w:t>&amp;</w:t>
      </w:r>
      <w:r w:rsidR="00F301CD">
        <w:t xml:space="preserve"> </w:t>
      </w:r>
      <w:r>
        <w:t>A) and How They Can Help You</w:t>
      </w:r>
      <w:bookmarkEnd w:id="16"/>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6856E0">
      <w:pPr>
        <w:pStyle w:val="ListParagraph"/>
        <w:numPr>
          <w:ilvl w:val="0"/>
          <w:numId w:val="31"/>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w:t>
      </w:r>
      <w:r w:rsidR="00F301CD">
        <w:t>s</w:t>
      </w:r>
      <w:r w:rsidRPr="00E067BD">
        <w:t xml:space="preserve"> in the class what you are asking so </w:t>
      </w:r>
      <w:r w:rsidR="00F301CD">
        <w:t>they</w:t>
      </w:r>
      <w:r w:rsidRPr="00E067BD">
        <w:t xml:space="preserv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6856E0">
      <w:pPr>
        <w:pStyle w:val="ListParagraph"/>
        <w:numPr>
          <w:ilvl w:val="0"/>
          <w:numId w:val="31"/>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17" w:name="_Toc62673056"/>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17"/>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18" w:name="_Toc62673057"/>
      <w:r w:rsidRPr="00841099">
        <w:rPr>
          <w:rFonts w:cstheme="minorHAnsi"/>
        </w:rPr>
        <w:t>Departmental Final Exam—F for the Course If Not Taken</w:t>
      </w:r>
      <w:bookmarkEnd w:id="18"/>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00475A28">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19" w:name="_Toc62673058"/>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19"/>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75A28" w:rsidP="00396046">
      <w:pPr>
        <w:pStyle w:val="Heading4"/>
        <w:tabs>
          <w:tab w:val="left" w:pos="810"/>
        </w:tabs>
        <w:ind w:left="0"/>
      </w:pPr>
      <w:r>
        <w:rPr>
          <w:shd w:val="clear" w:color="auto" w:fill="FFC000"/>
        </w:rPr>
        <w:t>Caution:</w:t>
      </w:r>
      <w:r w:rsidR="00923105">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EndPr/>
          <w:sdtContent>
            <w:tc>
              <w:tcPr>
                <w:tcW w:w="4472" w:type="dxa"/>
                <w:shd w:val="clear" w:color="auto" w:fill="FFFFFF" w:themeFill="background1"/>
              </w:tcPr>
              <w:p w:rsidR="00136184" w:rsidRPr="003E309F" w:rsidRDefault="007F7CAE"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4472" w:type="dxa"/>
                <w:shd w:val="clear" w:color="auto" w:fill="FFFFFF" w:themeFill="background1"/>
              </w:tcPr>
              <w:p w:rsidR="00136184" w:rsidRPr="003E309F" w:rsidRDefault="007F7CAE"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7F7CAE"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EndPr/>
          <w:sdtContent>
            <w:tc>
              <w:tcPr>
                <w:tcW w:w="4472" w:type="dxa"/>
                <w:shd w:val="clear" w:color="auto" w:fill="FFFFFF" w:themeFill="background1"/>
              </w:tcPr>
              <w:p w:rsidR="00136184" w:rsidRPr="003E309F" w:rsidRDefault="007F7CAE"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475A28" w:rsidP="00303F84">
      <w:pPr>
        <w:spacing w:line="240" w:lineRule="auto"/>
      </w:pPr>
      <w:r>
        <w:rPr>
          <w:rFonts w:eastAsiaTheme="majorEastAsia" w:cstheme="majorBidi"/>
          <w:b/>
          <w:iCs/>
          <w:shd w:val="clear" w:color="auto" w:fill="FFC000"/>
        </w:rPr>
        <w:t>Caution:</w:t>
      </w:r>
      <w:r w:rsidR="00303F84">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0" w:name="_Toc62673059"/>
      <w:r>
        <w:rPr>
          <w:rFonts w:eastAsia="Times New Roman" w:cstheme="minorHAnsi"/>
        </w:rPr>
        <w:t xml:space="preserve">How Respondus </w:t>
      </w:r>
      <w:r w:rsidR="00136184">
        <w:rPr>
          <w:rFonts w:eastAsia="Times New Roman" w:cstheme="minorHAnsi"/>
        </w:rPr>
        <w:t>Works in This Class</w:t>
      </w:r>
      <w:bookmarkEnd w:id="20"/>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6856E0">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6856E0">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1" w:name="_Toc62673060"/>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1"/>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00B92013" w:rsidRPr="00B92013">
        <w:rPr>
          <w:rStyle w:val="Strong"/>
          <w:shd w:val="clear" w:color="auto" w:fill="FFC000"/>
        </w:rPr>
        <w:t>CAUTION:</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386CD6">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—“a problem engaged in usually by a group of students to supplement and apply cl</w:t>
      </w:r>
      <w:r w:rsidR="00386CD6">
        <w:t>assroom studies.” (Link Address:</w:t>
      </w:r>
      <w:r w:rsidR="00F4576E">
        <w:t xml:space="preserve"> </w:t>
      </w:r>
      <w:r w:rsidR="00386CD6" w:rsidRPr="00386CD6">
        <w:t>https://www.merriam-webster.com/dictionary/project</w:t>
      </w:r>
      <w:r w:rsidR="00386CD6">
        <w:t>)</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86CD6">
        <w:t>primaries and</w:t>
      </w:r>
      <w:r w:rsidR="00821B96" w:rsidRPr="00785699">
        <w:t xml:space="preserve"> video</w:t>
      </w:r>
      <w:r w:rsidR="00386CD6">
        <w:t>s</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6856E0">
      <w:pPr>
        <w:pStyle w:val="ListParagraph"/>
        <w:numPr>
          <w:ilvl w:val="0"/>
          <w:numId w:val="21"/>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6856E0">
      <w:pPr>
        <w:pStyle w:val="ListParagraph"/>
        <w:numPr>
          <w:ilvl w:val="0"/>
          <w:numId w:val="21"/>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6856E0">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upper level courses</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the workplace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6856E0">
      <w:pPr>
        <w:pStyle w:val="ListParagraph"/>
        <w:numPr>
          <w:ilvl w:val="0"/>
          <w:numId w:val="28"/>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6856E0">
      <w:pPr>
        <w:pStyle w:val="ListParagraph"/>
        <w:numPr>
          <w:ilvl w:val="0"/>
          <w:numId w:val="28"/>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6856E0">
      <w:pPr>
        <w:pStyle w:val="ListParagraph"/>
        <w:numPr>
          <w:ilvl w:val="0"/>
          <w:numId w:val="21"/>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390A70">
        <w:t>”</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6856E0">
      <w:pPr>
        <w:pStyle w:val="ListParagraph"/>
        <w:numPr>
          <w:ilvl w:val="1"/>
          <w:numId w:val="21"/>
        </w:numPr>
        <w:shd w:val="clear" w:color="auto" w:fill="FFFFFF" w:themeFill="background1"/>
      </w:pPr>
      <w:r>
        <w:t xml:space="preserve">You </w:t>
      </w:r>
      <w:r w:rsidR="005117A6">
        <w:t>compare</w:t>
      </w:r>
      <w:r>
        <w:t xml:space="preserve"> side by side:</w:t>
      </w:r>
    </w:p>
    <w:p w:rsidR="00821B96" w:rsidRDefault="00821B96" w:rsidP="006856E0">
      <w:pPr>
        <w:pStyle w:val="ListParagraph"/>
        <w:numPr>
          <w:ilvl w:val="2"/>
          <w:numId w:val="21"/>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6856E0">
      <w:pPr>
        <w:pStyle w:val="ListParagraph"/>
        <w:numPr>
          <w:ilvl w:val="2"/>
          <w:numId w:val="21"/>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6856E0">
      <w:pPr>
        <w:pStyle w:val="ListParagraph"/>
        <w:numPr>
          <w:ilvl w:val="1"/>
          <w:numId w:val="21"/>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6856E0">
      <w:pPr>
        <w:pStyle w:val="ListParagraph"/>
        <w:numPr>
          <w:ilvl w:val="0"/>
          <w:numId w:val="21"/>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8"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6856E0">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9" w:history="1">
        <w:r w:rsidRPr="00D93CAD">
          <w:t>REPLY</w:t>
        </w:r>
      </w:hyperlink>
      <w:r w:rsidR="00386CD6">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2" w:name="_Toc62673061"/>
      <w:r>
        <w:rPr>
          <w:rFonts w:eastAsia="Times New Roman" w:cstheme="minorHAnsi"/>
        </w:rPr>
        <w:t xml:space="preserve">Course Evaluation and </w:t>
      </w:r>
      <w:r w:rsidR="000275F5" w:rsidRPr="00841099">
        <w:rPr>
          <w:rFonts w:eastAsia="Times New Roman" w:cstheme="minorHAnsi"/>
        </w:rPr>
        <w:t>Grading Scale:</w:t>
      </w:r>
      <w:bookmarkEnd w:id="22"/>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w:t>
      </w:r>
      <w:r w:rsidR="00386CD6">
        <w:rPr>
          <w:rFonts w:ascii="Calibri" w:eastAsia="Times New Roman" w:hAnsi="Calibri" w:cs="Calibri"/>
        </w:rPr>
        <w:t xml:space="preserve">each </w:t>
      </w:r>
      <w:r w:rsidR="004C557F">
        <w:rPr>
          <w:rFonts w:ascii="Calibri" w:eastAsia="Times New Roman" w:hAnsi="Calibri" w:cs="Calibri"/>
        </w:rPr>
        <w:t>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points each</w:t>
      </w:r>
      <w:r w:rsidR="00AE0903">
        <w:rPr>
          <w:rFonts w:eastAsia="Times New Roman" w:cstheme="minorHAnsi"/>
        </w:rPr>
        <w:t>)</w:t>
      </w:r>
      <w:r w:rsidR="005117A6" w:rsidRPr="00D43AB5">
        <w:rPr>
          <w:rFonts w:eastAsia="Times New Roman" w:cstheme="minorHAnsi"/>
        </w:rPr>
        <w:t xml:space="preserve">,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3" w:name="_Toc62673062"/>
      <w:r w:rsidRPr="00A40913">
        <w:rPr>
          <w:rFonts w:cstheme="minorHAnsi"/>
          <w:shd w:val="clear" w:color="auto" w:fill="FFC000"/>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w:t>
      </w:r>
      <w:r w:rsidR="000F0DCD" w:rsidRPr="00475A28">
        <w:rPr>
          <w:rFonts w:cstheme="minorHAnsi"/>
          <w:shd w:val="clear" w:color="auto" w:fill="FFC000"/>
        </w:rPr>
        <w:t xml:space="preserve">Its </w:t>
      </w:r>
      <w:r w:rsidR="00957F67" w:rsidRPr="00475A28">
        <w:rPr>
          <w:rFonts w:cstheme="minorHAnsi"/>
          <w:shd w:val="clear" w:color="auto" w:fill="FFC000"/>
        </w:rPr>
        <w:t>30 Percent</w:t>
      </w:r>
      <w:r w:rsidR="000F0DCD" w:rsidRPr="00475A28">
        <w:rPr>
          <w:rFonts w:cstheme="minorHAnsi"/>
          <w:shd w:val="clear" w:color="auto" w:fill="FFC000"/>
        </w:rPr>
        <w:t xml:space="preserve"> </w:t>
      </w:r>
      <w:r w:rsidRPr="00475A28">
        <w:rPr>
          <w:rFonts w:cstheme="minorHAnsi"/>
          <w:shd w:val="clear" w:color="auto" w:fill="FFC000"/>
        </w:rPr>
        <w:t>Writing Requirement</w:t>
      </w:r>
      <w:bookmarkEnd w:id="23"/>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24"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4"/>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6856E0">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6856E0">
      <w:pPr>
        <w:pStyle w:val="ListParagraph"/>
        <w:numPr>
          <w:ilvl w:val="0"/>
          <w:numId w:val="25"/>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6856E0">
      <w:pPr>
        <w:pStyle w:val="ListParagraph"/>
        <w:numPr>
          <w:ilvl w:val="0"/>
          <w:numId w:val="25"/>
        </w:numPr>
        <w:shd w:val="clear" w:color="auto" w:fill="FFFFFF" w:themeFill="background1"/>
        <w:rPr>
          <w:rFonts w:cstheme="minorHAnsi"/>
        </w:rPr>
      </w:pPr>
      <w:r>
        <w:rPr>
          <w:rFonts w:cstheme="minorHAnsi"/>
        </w:rPr>
        <w:t>If you are making higher</w:t>
      </w:r>
      <w:r w:rsidR="00CC698A">
        <w:rPr>
          <w:rFonts w:cstheme="minorHAnsi"/>
        </w:rPr>
        <w:t xml:space="preserve"> grade</w:t>
      </w:r>
      <w:r w:rsidR="00B36913">
        <w:rPr>
          <w:rFonts w:cstheme="minorHAnsi"/>
        </w:rPr>
        <w:t>s</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 xml:space="preserve">grades, then I will overwrite the </w:t>
      </w:r>
      <w:r w:rsidR="00AE0903">
        <w:rPr>
          <w:rFonts w:cstheme="minorHAnsi"/>
        </w:rPr>
        <w:t>1st Part F.I.O. Project</w:t>
      </w:r>
      <w:r>
        <w:rPr>
          <w:rFonts w:cstheme="minorHAnsi"/>
        </w:rPr>
        <w:t xml:space="preserve">.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25" w:name="_Toc62673064"/>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25"/>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B36913">
        <w:rPr>
          <w:rFonts w:cstheme="minorHAnsi"/>
        </w:rPr>
        <w:t xml:space="preserve">persist or </w:t>
      </w:r>
      <w:r>
        <w:rPr>
          <w:rFonts w:cstheme="minorHAnsi"/>
        </w:rPr>
        <w:t xml:space="preserve">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r w:rsidR="00B36913">
        <w:rPr>
          <w:rFonts w:cstheme="minorHAnsi"/>
        </w:rPr>
        <w:t xml:space="preserve"> in Blackboard</w:t>
      </w:r>
      <w:r w:rsidR="00390A70">
        <w:rPr>
          <w:rFonts w:cstheme="minorHAnsi"/>
        </w:rPr>
        <w:t>.</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w:t>
      </w:r>
      <w:r w:rsidR="00B36913">
        <w:rPr>
          <w:rFonts w:cstheme="minorHAnsi"/>
          <w:shd w:val="clear" w:color="auto" w:fill="FFFFFF" w:themeFill="background1"/>
        </w:rPr>
        <w:t>Exam opens</w:t>
      </w:r>
      <w:r w:rsidR="00CC698A">
        <w:rPr>
          <w:rFonts w:cstheme="minorHAnsi"/>
          <w:shd w:val="clear" w:color="auto" w:fill="FFFFFF" w:themeFill="background1"/>
        </w:rPr>
        <w:t xml:space="preserve">. </w:t>
      </w:r>
      <w:r w:rsidR="009B0B2B">
        <w:rPr>
          <w:rFonts w:cstheme="minorHAnsi"/>
          <w:shd w:val="clear" w:color="auto" w:fill="FFFFFF" w:themeFill="background1"/>
        </w:rPr>
        <w:t>Here is how it works:</w:t>
      </w:r>
    </w:p>
    <w:p w:rsidR="00F97A79" w:rsidRDefault="009B0B2B" w:rsidP="006856E0">
      <w:pPr>
        <w:pStyle w:val="ListParagraph"/>
        <w:numPr>
          <w:ilvl w:val="0"/>
          <w:numId w:val="30"/>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w:t>
      </w:r>
      <w:r w:rsidR="00B36913">
        <w:rPr>
          <w:rFonts w:cstheme="minorHAnsi"/>
          <w:shd w:val="clear" w:color="auto" w:fill="FFFFFF" w:themeFill="background1"/>
        </w:rPr>
        <w:t>up to 5 days before the Exam opens. For example, your prof might enter incentives 3 days before Unit 1 Exam opens and 5 days before Unit 2 Exam does.</w:t>
      </w:r>
      <w:r w:rsidR="00CC698A" w:rsidRPr="009B0B2B">
        <w:rPr>
          <w:rFonts w:cstheme="minorHAnsi"/>
          <w:shd w:val="clear" w:color="auto" w:fill="FFFFFF" w:themeFill="background1"/>
        </w:rPr>
        <w:t xml:space="preserve">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 xml:space="preserve">To be safe, you ought to be finishing up studying </w:t>
      </w:r>
      <w:r w:rsidR="00B36913">
        <w:rPr>
          <w:rFonts w:cstheme="minorHAnsi"/>
          <w:shd w:val="clear" w:color="auto" w:fill="FFFFFF" w:themeFill="background1"/>
        </w:rPr>
        <w:t xml:space="preserve">everything </w:t>
      </w:r>
      <w:r w:rsidR="00CC698A" w:rsidRPr="009B0B2B">
        <w:rPr>
          <w:rFonts w:cstheme="minorHAnsi"/>
          <w:shd w:val="clear" w:color="auto" w:fill="FFFFFF" w:themeFill="background1"/>
        </w:rPr>
        <w:t>before the Exam starts.</w:t>
      </w:r>
      <w:r w:rsidR="00C3406B">
        <w:rPr>
          <w:rFonts w:cstheme="minorHAnsi"/>
          <w:shd w:val="clear" w:color="auto" w:fill="FFFFFF" w:themeFill="background1"/>
        </w:rPr>
        <w:t xml:space="preserve"> </w:t>
      </w:r>
    </w:p>
    <w:p w:rsidR="00C3406B" w:rsidRDefault="00C3406B"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w:t>
      </w:r>
      <w:r w:rsidR="00B36913">
        <w:rPr>
          <w:rFonts w:cstheme="minorHAnsi"/>
          <w:shd w:val="clear" w:color="auto" w:fill="FFFFFF" w:themeFill="background1"/>
        </w:rPr>
        <w:t xml:space="preserve">sometimes may </w:t>
      </w:r>
      <w:r w:rsidR="00B36913" w:rsidRPr="00B36913">
        <w:rPr>
          <w:rStyle w:val="Strong"/>
        </w:rPr>
        <w:t>also</w:t>
      </w:r>
      <w:r w:rsidR="00B36913">
        <w:rPr>
          <w:rFonts w:cstheme="minorHAnsi"/>
          <w:shd w:val="clear" w:color="auto" w:fill="FFFFFF" w:themeFill="background1"/>
        </w:rPr>
        <w:t xml:space="preserve"> </w:t>
      </w:r>
      <w:r>
        <w:rPr>
          <w:rFonts w:cstheme="minorHAnsi"/>
          <w:shd w:val="clear" w:color="auto" w:fill="FFFFFF" w:themeFill="background1"/>
        </w:rPr>
        <w:t xml:space="preserve">come in </w:t>
      </w:r>
      <w:r w:rsidR="00B36913">
        <w:rPr>
          <w:rFonts w:cstheme="minorHAnsi"/>
          <w:shd w:val="clear" w:color="auto" w:fill="FFFFFF" w:themeFill="background1"/>
        </w:rPr>
        <w:t>1</w:t>
      </w:r>
      <w:r>
        <w:rPr>
          <w:rFonts w:cstheme="minorHAnsi"/>
          <w:shd w:val="clear" w:color="auto" w:fill="FFFFFF" w:themeFill="background1"/>
        </w:rPr>
        <w:t xml:space="preserv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w:t>
      </w:r>
      <w:r w:rsidR="002F1963" w:rsidRPr="00B36913">
        <w:rPr>
          <w:rStyle w:val="Strong"/>
        </w:rPr>
        <w:t xml:space="preserve">less </w:t>
      </w:r>
      <w:r w:rsidR="002F1963">
        <w:rPr>
          <w:rFonts w:cstheme="minorHAnsi"/>
          <w:shd w:val="clear" w:color="auto" w:fill="FFFFFF" w:themeFill="background1"/>
        </w:rPr>
        <w:t xml:space="preserve">than 80% correct, your prof enters an incentive of </w:t>
      </w:r>
      <w:r w:rsidR="002F1963" w:rsidRPr="00B36913">
        <w:rPr>
          <w:rStyle w:val="Strong"/>
        </w:rPr>
        <w:t>.05</w:t>
      </w:r>
      <w:r w:rsidR="002F1963">
        <w:rPr>
          <w:rFonts w:cstheme="minorHAnsi"/>
          <w:shd w:val="clear" w:color="auto" w:fill="FFFFFF" w:themeFill="background1"/>
        </w:rPr>
        <w:t xml:space="preserve"> instead of 1. The Announcements remind you of what an incentive of .05 means.</w:t>
      </w:r>
    </w:p>
    <w:p w:rsidR="000275F5" w:rsidRPr="00841099" w:rsidRDefault="000275F5" w:rsidP="000275F5">
      <w:pPr>
        <w:pStyle w:val="Heading3"/>
        <w:rPr>
          <w:rFonts w:eastAsia="Times New Roman" w:cstheme="minorHAnsi"/>
        </w:rPr>
      </w:pPr>
      <w:bookmarkStart w:id="26" w:name="_Toc62673065"/>
      <w:r w:rsidRPr="00841099">
        <w:rPr>
          <w:rFonts w:eastAsia="Times New Roman" w:cstheme="minorHAnsi"/>
        </w:rPr>
        <w:t>Grading Response Timeframe:</w:t>
      </w:r>
      <w:bookmarkEnd w:id="26"/>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27" w:name="_Toc62673066"/>
      <w:r w:rsidRPr="00841099">
        <w:rPr>
          <w:rFonts w:eastAsia="Times New Roman" w:cstheme="minorHAnsi"/>
        </w:rPr>
        <w:t>Course Policies</w:t>
      </w:r>
      <w:bookmarkEnd w:id="27"/>
    </w:p>
    <w:p w:rsidR="000275F5" w:rsidRPr="00841099" w:rsidRDefault="000275F5" w:rsidP="000275F5">
      <w:pPr>
        <w:pStyle w:val="Heading3"/>
        <w:rPr>
          <w:rFonts w:eastAsia="Times New Roman" w:cstheme="minorHAnsi"/>
        </w:rPr>
      </w:pPr>
      <w:bookmarkStart w:id="28" w:name="_Toc62673067"/>
      <w:r w:rsidRPr="00841099">
        <w:rPr>
          <w:rFonts w:eastAsia="Times New Roman" w:cstheme="minorHAnsi"/>
        </w:rPr>
        <w:t>Late Work Policy</w:t>
      </w:r>
      <w:bookmarkEnd w:id="28"/>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475A28">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w:t>
      </w:r>
      <w:r w:rsidR="00C523C6" w:rsidRPr="00902168">
        <w:rPr>
          <w:rStyle w:val="Strong"/>
        </w:rPr>
        <w:t>las</w:t>
      </w:r>
      <w:r w:rsidR="00902168" w:rsidRPr="00902168">
        <w:rPr>
          <w:rStyle w:val="Strong"/>
        </w:rPr>
        <w:t>t 15-30</w:t>
      </w:r>
      <w:r w:rsidR="00902168">
        <w:rPr>
          <w:rFonts w:eastAsia="Times New Roman" w:cstheme="minorHAnsi"/>
          <w:bCs/>
        </w:rPr>
        <w:t xml:space="preserve"> minutes of availability. If Internet traffic means the Discussion Tool does not accept your submission, your prof will</w:t>
      </w:r>
      <w:r w:rsidR="00902168" w:rsidRPr="00902168">
        <w:rPr>
          <w:rStyle w:val="Strong"/>
        </w:rPr>
        <w:t xml:space="preserve"> not</w:t>
      </w:r>
      <w:r w:rsidR="00902168">
        <w:rPr>
          <w:rFonts w:eastAsia="Times New Roman" w:cstheme="minorHAnsi"/>
          <w:bCs/>
        </w:rPr>
        <w:t xml:space="preserve"> allow you to post later.</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475A28">
        <w:rPr>
          <w:b/>
          <w:i/>
          <w:shd w:val="clear" w:color="auto" w:fill="FFC000"/>
        </w:rPr>
        <w:t>Caution:</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sidR="00902168">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29" w:name="_Toc62673068"/>
      <w:r w:rsidRPr="00841099">
        <w:rPr>
          <w:rFonts w:eastAsia="Times New Roman" w:cstheme="minorHAnsi"/>
        </w:rPr>
        <w:t>Technology Outage Policy:</w:t>
      </w:r>
      <w:bookmarkEnd w:id="29"/>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00902168" w:rsidRPr="00902168">
        <w:rPr>
          <w:rStyle w:val="Strong"/>
          <w:shd w:val="clear" w:color="auto" w:fill="FFC000"/>
        </w:rPr>
        <w:t>Caution</w:t>
      </w:r>
      <w:r w:rsidR="00902168" w:rsidRPr="00902168">
        <w:rPr>
          <w:rFonts w:eastAsia="Times New Roman" w:cstheme="minorHAnsi"/>
          <w:shd w:val="clear" w:color="auto" w:fill="FFC000"/>
        </w:rPr>
        <w:t>:</w:t>
      </w:r>
      <w:r w:rsidR="00902168">
        <w:rPr>
          <w:rFonts w:eastAsia="Times New Roman" w:cstheme="minorHAnsi"/>
        </w:rPr>
        <w:t xml:space="preserve"> </w:t>
      </w:r>
      <w:r w:rsidR="00C523C6">
        <w:rPr>
          <w:rFonts w:eastAsia="Times New Roman" w:cstheme="minorHAnsi"/>
        </w:rPr>
        <w:t xml:space="preserve">To be safe, also make a snippet or picture of some type showing any error messages or other screen prompts </w:t>
      </w:r>
      <w:r w:rsidR="00902168">
        <w:rPr>
          <w:rFonts w:eastAsia="Times New Roman" w:cstheme="minorHAnsi"/>
        </w:rPr>
        <w:t>and email it in Course Messages to your prof.</w:t>
      </w:r>
      <w:r w:rsidR="00C523C6">
        <w:rPr>
          <w:rFonts w:eastAsia="Times New Roman" w:cstheme="minorHAnsi"/>
        </w:rPr>
        <w:t xml:space="preserve"> </w:t>
      </w:r>
    </w:p>
    <w:p w:rsidR="000275F5" w:rsidRPr="00841099" w:rsidRDefault="000275F5" w:rsidP="000275F5">
      <w:pPr>
        <w:pStyle w:val="Heading3"/>
        <w:rPr>
          <w:rFonts w:eastAsia="Times New Roman" w:cstheme="minorHAnsi"/>
        </w:rPr>
      </w:pPr>
      <w:bookmarkStart w:id="30" w:name="_Toc62673069"/>
      <w:r w:rsidRPr="00841099">
        <w:rPr>
          <w:rFonts w:eastAsia="Times New Roman" w:cstheme="minorHAnsi"/>
        </w:rPr>
        <w:t>Attendance Policy:</w:t>
      </w:r>
      <w:bookmarkEnd w:id="30"/>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1" w:name="_Toc62673070"/>
      <w:r>
        <w:rPr>
          <w:rFonts w:eastAsia="Times New Roman" w:cstheme="minorHAnsi"/>
        </w:rPr>
        <w:t xml:space="preserve">Attendance Policy and </w:t>
      </w:r>
      <w:r w:rsidR="0082238F">
        <w:rPr>
          <w:rFonts w:eastAsia="Times New Roman" w:cstheme="minorHAnsi"/>
        </w:rPr>
        <w:t>Covid-19:</w:t>
      </w:r>
      <w:bookmarkEnd w:id="31"/>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2" w:name="_Toc62673071"/>
      <w:r>
        <w:rPr>
          <w:rFonts w:eastAsia="Times New Roman" w:cstheme="minorHAnsi"/>
        </w:rPr>
        <w:t xml:space="preserve">Online </w:t>
      </w:r>
      <w:r w:rsidRPr="00841099">
        <w:rPr>
          <w:rFonts w:eastAsia="Times New Roman" w:cstheme="minorHAnsi"/>
        </w:rPr>
        <w:t>Classroom Behavior Policy/Classroom Civility:</w:t>
      </w:r>
      <w:bookmarkEnd w:id="32"/>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3" w:name="_Toc62673072"/>
      <w:r w:rsidRPr="00841099">
        <w:rPr>
          <w:rFonts w:eastAsia="Times New Roman" w:cstheme="minorHAnsi"/>
        </w:rPr>
        <w:t>Academic Honesty Policy:</w:t>
      </w:r>
      <w:bookmarkEnd w:id="33"/>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475A28">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34" w:name="_Toc62673073"/>
      <w:r w:rsidRPr="00841099">
        <w:rPr>
          <w:rFonts w:eastAsia="Times New Roman" w:cstheme="minorHAnsi"/>
        </w:rPr>
        <w:t>Dropping a Course with a Grade of “W”</w:t>
      </w:r>
      <w:r>
        <w:rPr>
          <w:rFonts w:eastAsia="Times New Roman" w:cstheme="minorHAnsi"/>
        </w:rPr>
        <w:t>:</w:t>
      </w:r>
      <w:bookmarkEnd w:id="34"/>
    </w:p>
    <w:p w:rsidR="000275F5" w:rsidRDefault="000275F5" w:rsidP="000275F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35" w:name="_Toc62673074"/>
      <w:r w:rsidRPr="00841099">
        <w:rPr>
          <w:rFonts w:eastAsia="Times New Roman" w:cstheme="minorHAnsi"/>
        </w:rPr>
        <w:t>Six Drop Rule:</w:t>
      </w:r>
      <w:bookmarkEnd w:id="35"/>
      <w:r w:rsidRPr="00841099">
        <w:rPr>
          <w:rFonts w:eastAsia="Times New Roman" w:cstheme="minorHAnsi"/>
        </w:rPr>
        <w:t xml:space="preserve"> </w:t>
      </w:r>
    </w:p>
    <w:p w:rsidR="00D2745C"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36" w:name="_Toc62673077"/>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36"/>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1D415F" w:rsidRPr="00A75B2F">
                <w:rPr>
                  <w:rStyle w:val="Strong"/>
                  <w:shd w:val="clear" w:color="auto" w:fill="FFC000"/>
                </w:rPr>
                <w:t>Date provided in your syllabus.</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1D415F" w:rsidRPr="00A75B2F">
        <w:rPr>
          <w:rStyle w:val="Strong"/>
          <w:shd w:val="clear" w:color="auto" w:fill="FFC000"/>
        </w:rPr>
        <w:t>Holidays listed in your syllabus</w:t>
      </w:r>
    </w:p>
    <w:p w:rsidR="006175C1" w:rsidRDefault="006175C1" w:rsidP="006175C1">
      <w:pPr>
        <w:spacing w:after="120" w:line="300" w:lineRule="auto"/>
      </w:pPr>
      <w:bookmarkStart w:id="37" w:name="_Toc62673078"/>
      <w:r w:rsidRPr="006175C1">
        <w:rPr>
          <w:rStyle w:val="Heading2Char"/>
          <w:shd w:val="clear" w:color="auto" w:fill="FFFFFF" w:themeFill="background1"/>
        </w:rPr>
        <w:t>List of Due Dates in a One-Page Format</w:t>
      </w:r>
      <w:bookmarkEnd w:id="37"/>
    </w:p>
    <w:p w:rsidR="006175C1" w:rsidRDefault="006175C1" w:rsidP="006175C1">
      <w:pPr>
        <w:spacing w:after="120" w:line="300" w:lineRule="auto"/>
      </w:pPr>
      <w:r>
        <w:t xml:space="preserve">The List of Due Dates is available in a </w:t>
      </w:r>
      <w:r w:rsidR="004D0296">
        <w:t>two</w:t>
      </w:r>
      <w:r>
        <w:t>-page printable form as a separate link on the Course Menu.</w:t>
      </w:r>
      <w:r w:rsidR="001D415F">
        <w:t xml:space="preserve"> </w:t>
      </w:r>
      <w:r w:rsidR="001D415F" w:rsidRPr="00A75B2F">
        <w:rPr>
          <w:rStyle w:val="Strong"/>
          <w:shd w:val="clear" w:color="auto" w:fill="FFC000"/>
        </w:rPr>
        <w:t>Copy of List of Due Dates provided in your syllabus.</w:t>
      </w:r>
      <w:bookmarkStart w:id="38" w:name="_GoBack"/>
      <w:bookmarkEnd w:id="38"/>
    </w:p>
    <w:sectPr w:rsidR="006175C1" w:rsidSect="007456F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AE" w:rsidRDefault="007F7CAE" w:rsidP="000D076F">
      <w:pPr>
        <w:spacing w:after="0" w:line="240" w:lineRule="auto"/>
      </w:pPr>
      <w:r>
        <w:separator/>
      </w:r>
    </w:p>
  </w:endnote>
  <w:endnote w:type="continuationSeparator" w:id="0">
    <w:p w:rsidR="007F7CAE" w:rsidRDefault="007F7CAE"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03" w:rsidRDefault="00AE0903">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7F7CA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AE" w:rsidRDefault="007F7CAE" w:rsidP="000D076F">
      <w:pPr>
        <w:spacing w:after="0" w:line="240" w:lineRule="auto"/>
      </w:pPr>
      <w:r>
        <w:separator/>
      </w:r>
    </w:p>
  </w:footnote>
  <w:footnote w:type="continuationSeparator" w:id="0">
    <w:p w:rsidR="007F7CAE" w:rsidRDefault="007F7CAE"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A273DE"/>
    <w:multiLevelType w:val="hybridMultilevel"/>
    <w:tmpl w:val="BF7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7622E8C"/>
    <w:multiLevelType w:val="hybridMultilevel"/>
    <w:tmpl w:val="B84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762"/>
    <w:multiLevelType w:val="hybridMultilevel"/>
    <w:tmpl w:val="0F66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8922A8"/>
    <w:multiLevelType w:val="hybridMultilevel"/>
    <w:tmpl w:val="B8505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DB6B22"/>
    <w:multiLevelType w:val="hybridMultilevel"/>
    <w:tmpl w:val="AE2A0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47601"/>
    <w:multiLevelType w:val="hybridMultilevel"/>
    <w:tmpl w:val="919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F6791"/>
    <w:multiLevelType w:val="hybridMultilevel"/>
    <w:tmpl w:val="018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53D7"/>
    <w:multiLevelType w:val="hybridMultilevel"/>
    <w:tmpl w:val="6096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892950"/>
    <w:multiLevelType w:val="hybridMultilevel"/>
    <w:tmpl w:val="A02A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01396"/>
    <w:multiLevelType w:val="hybridMultilevel"/>
    <w:tmpl w:val="F64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9"/>
  </w:num>
  <w:num w:numId="3">
    <w:abstractNumId w:val="26"/>
  </w:num>
  <w:num w:numId="4">
    <w:abstractNumId w:val="9"/>
  </w:num>
  <w:num w:numId="5">
    <w:abstractNumId w:val="14"/>
  </w:num>
  <w:num w:numId="6">
    <w:abstractNumId w:val="29"/>
  </w:num>
  <w:num w:numId="7">
    <w:abstractNumId w:val="17"/>
  </w:num>
  <w:num w:numId="8">
    <w:abstractNumId w:val="27"/>
  </w:num>
  <w:num w:numId="9">
    <w:abstractNumId w:val="11"/>
  </w:num>
  <w:num w:numId="10">
    <w:abstractNumId w:val="1"/>
  </w:num>
  <w:num w:numId="11">
    <w:abstractNumId w:val="21"/>
  </w:num>
  <w:num w:numId="12">
    <w:abstractNumId w:val="44"/>
  </w:num>
  <w:num w:numId="13">
    <w:abstractNumId w:val="7"/>
  </w:num>
  <w:num w:numId="14">
    <w:abstractNumId w:val="4"/>
  </w:num>
  <w:num w:numId="15">
    <w:abstractNumId w:val="28"/>
  </w:num>
  <w:num w:numId="16">
    <w:abstractNumId w:val="46"/>
  </w:num>
  <w:num w:numId="17">
    <w:abstractNumId w:val="12"/>
  </w:num>
  <w:num w:numId="18">
    <w:abstractNumId w:val="22"/>
  </w:num>
  <w:num w:numId="19">
    <w:abstractNumId w:val="38"/>
  </w:num>
  <w:num w:numId="20">
    <w:abstractNumId w:val="18"/>
  </w:num>
  <w:num w:numId="21">
    <w:abstractNumId w:val="43"/>
  </w:num>
  <w:num w:numId="22">
    <w:abstractNumId w:val="0"/>
  </w:num>
  <w:num w:numId="23">
    <w:abstractNumId w:val="13"/>
  </w:num>
  <w:num w:numId="24">
    <w:abstractNumId w:val="33"/>
  </w:num>
  <w:num w:numId="25">
    <w:abstractNumId w:val="19"/>
  </w:num>
  <w:num w:numId="26">
    <w:abstractNumId w:val="25"/>
  </w:num>
  <w:num w:numId="27">
    <w:abstractNumId w:val="37"/>
  </w:num>
  <w:num w:numId="28">
    <w:abstractNumId w:val="42"/>
  </w:num>
  <w:num w:numId="29">
    <w:abstractNumId w:val="24"/>
  </w:num>
  <w:num w:numId="30">
    <w:abstractNumId w:val="15"/>
  </w:num>
  <w:num w:numId="31">
    <w:abstractNumId w:val="35"/>
  </w:num>
  <w:num w:numId="32">
    <w:abstractNumId w:val="31"/>
  </w:num>
  <w:num w:numId="33">
    <w:abstractNumId w:val="45"/>
  </w:num>
  <w:num w:numId="34">
    <w:abstractNumId w:val="5"/>
  </w:num>
  <w:num w:numId="35">
    <w:abstractNumId w:val="6"/>
  </w:num>
  <w:num w:numId="36">
    <w:abstractNumId w:val="20"/>
  </w:num>
  <w:num w:numId="37">
    <w:abstractNumId w:val="23"/>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1"/>
  </w:num>
  <w:num w:numId="41">
    <w:abstractNumId w:val="8"/>
  </w:num>
  <w:num w:numId="42">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0"/>
  </w:num>
  <w:num w:numId="4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0669"/>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0B40"/>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3D8C"/>
    <w:rsid w:val="0018683A"/>
    <w:rsid w:val="001930BB"/>
    <w:rsid w:val="001940B0"/>
    <w:rsid w:val="00196EA9"/>
    <w:rsid w:val="00197CC2"/>
    <w:rsid w:val="001A130E"/>
    <w:rsid w:val="001A3B9E"/>
    <w:rsid w:val="001A688C"/>
    <w:rsid w:val="001B3E07"/>
    <w:rsid w:val="001B7142"/>
    <w:rsid w:val="001C3AF6"/>
    <w:rsid w:val="001C5EA7"/>
    <w:rsid w:val="001C74BF"/>
    <w:rsid w:val="001D28B3"/>
    <w:rsid w:val="001D2EAD"/>
    <w:rsid w:val="001D415F"/>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3FAA"/>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5390E"/>
    <w:rsid w:val="00260043"/>
    <w:rsid w:val="002606B9"/>
    <w:rsid w:val="0026072C"/>
    <w:rsid w:val="00261D7C"/>
    <w:rsid w:val="002641BF"/>
    <w:rsid w:val="00266B40"/>
    <w:rsid w:val="00270E8F"/>
    <w:rsid w:val="00273114"/>
    <w:rsid w:val="002731D8"/>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29A1"/>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27299"/>
    <w:rsid w:val="00330960"/>
    <w:rsid w:val="00336F05"/>
    <w:rsid w:val="003372A6"/>
    <w:rsid w:val="00342B43"/>
    <w:rsid w:val="00343ACC"/>
    <w:rsid w:val="00350E8C"/>
    <w:rsid w:val="00351CB5"/>
    <w:rsid w:val="003522A3"/>
    <w:rsid w:val="003532AD"/>
    <w:rsid w:val="00354627"/>
    <w:rsid w:val="0035500D"/>
    <w:rsid w:val="003550CA"/>
    <w:rsid w:val="0035585E"/>
    <w:rsid w:val="00355F21"/>
    <w:rsid w:val="003600DA"/>
    <w:rsid w:val="00363440"/>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6CD6"/>
    <w:rsid w:val="00387885"/>
    <w:rsid w:val="00390A70"/>
    <w:rsid w:val="0039275B"/>
    <w:rsid w:val="00393E44"/>
    <w:rsid w:val="00396046"/>
    <w:rsid w:val="003A1D45"/>
    <w:rsid w:val="003A21A4"/>
    <w:rsid w:val="003A333C"/>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0C16"/>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2A67"/>
    <w:rsid w:val="00464BD6"/>
    <w:rsid w:val="00464EA3"/>
    <w:rsid w:val="00465873"/>
    <w:rsid w:val="004668B6"/>
    <w:rsid w:val="004669A8"/>
    <w:rsid w:val="004702C9"/>
    <w:rsid w:val="00471B31"/>
    <w:rsid w:val="00473A07"/>
    <w:rsid w:val="00473B23"/>
    <w:rsid w:val="00474497"/>
    <w:rsid w:val="00474756"/>
    <w:rsid w:val="00475A28"/>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2CC5"/>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956"/>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518"/>
    <w:rsid w:val="005667E6"/>
    <w:rsid w:val="00571DE0"/>
    <w:rsid w:val="00573015"/>
    <w:rsid w:val="0057510B"/>
    <w:rsid w:val="005765F7"/>
    <w:rsid w:val="00586ADA"/>
    <w:rsid w:val="00586C26"/>
    <w:rsid w:val="0058743E"/>
    <w:rsid w:val="0059062F"/>
    <w:rsid w:val="00591EB3"/>
    <w:rsid w:val="00593461"/>
    <w:rsid w:val="00594727"/>
    <w:rsid w:val="005A1D84"/>
    <w:rsid w:val="005A7000"/>
    <w:rsid w:val="005A7559"/>
    <w:rsid w:val="005B0F6F"/>
    <w:rsid w:val="005B3F12"/>
    <w:rsid w:val="005B4639"/>
    <w:rsid w:val="005B4AEC"/>
    <w:rsid w:val="005B4BA5"/>
    <w:rsid w:val="005B6E6F"/>
    <w:rsid w:val="005C26CD"/>
    <w:rsid w:val="005C2754"/>
    <w:rsid w:val="005C2F60"/>
    <w:rsid w:val="005C3483"/>
    <w:rsid w:val="005C4A3E"/>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5C"/>
    <w:rsid w:val="005F5DCE"/>
    <w:rsid w:val="005F5F77"/>
    <w:rsid w:val="00603F21"/>
    <w:rsid w:val="00611DBE"/>
    <w:rsid w:val="006152B9"/>
    <w:rsid w:val="006166B3"/>
    <w:rsid w:val="006175C1"/>
    <w:rsid w:val="006204D3"/>
    <w:rsid w:val="0062092D"/>
    <w:rsid w:val="00622B9F"/>
    <w:rsid w:val="00625211"/>
    <w:rsid w:val="00626736"/>
    <w:rsid w:val="00626775"/>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56E0"/>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05B71"/>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1DF8"/>
    <w:rsid w:val="00743874"/>
    <w:rsid w:val="007456FA"/>
    <w:rsid w:val="00747F0E"/>
    <w:rsid w:val="00752631"/>
    <w:rsid w:val="007526C2"/>
    <w:rsid w:val="00753D78"/>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3E09"/>
    <w:rsid w:val="00794099"/>
    <w:rsid w:val="00796499"/>
    <w:rsid w:val="007A18DA"/>
    <w:rsid w:val="007A1FA8"/>
    <w:rsid w:val="007A225B"/>
    <w:rsid w:val="007A26DD"/>
    <w:rsid w:val="007A4694"/>
    <w:rsid w:val="007A4F5F"/>
    <w:rsid w:val="007A683B"/>
    <w:rsid w:val="007A7295"/>
    <w:rsid w:val="007A7DF0"/>
    <w:rsid w:val="007B64E6"/>
    <w:rsid w:val="007B7EBA"/>
    <w:rsid w:val="007C14B9"/>
    <w:rsid w:val="007C2337"/>
    <w:rsid w:val="007C3907"/>
    <w:rsid w:val="007C4DBD"/>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7F7CAE"/>
    <w:rsid w:val="008016E3"/>
    <w:rsid w:val="008029E4"/>
    <w:rsid w:val="00804A94"/>
    <w:rsid w:val="00806CEE"/>
    <w:rsid w:val="008070F7"/>
    <w:rsid w:val="0081010E"/>
    <w:rsid w:val="008117F5"/>
    <w:rsid w:val="00816492"/>
    <w:rsid w:val="008174C8"/>
    <w:rsid w:val="00821A1E"/>
    <w:rsid w:val="00821B96"/>
    <w:rsid w:val="0082238F"/>
    <w:rsid w:val="00831581"/>
    <w:rsid w:val="0083256C"/>
    <w:rsid w:val="008332EF"/>
    <w:rsid w:val="00834107"/>
    <w:rsid w:val="00835289"/>
    <w:rsid w:val="00835690"/>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4A2C"/>
    <w:rsid w:val="008F5DD8"/>
    <w:rsid w:val="008F684E"/>
    <w:rsid w:val="00902168"/>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3729F"/>
    <w:rsid w:val="009441A4"/>
    <w:rsid w:val="00947406"/>
    <w:rsid w:val="00947493"/>
    <w:rsid w:val="00947CE8"/>
    <w:rsid w:val="0095029A"/>
    <w:rsid w:val="00952377"/>
    <w:rsid w:val="00955EB4"/>
    <w:rsid w:val="0095700A"/>
    <w:rsid w:val="00957F67"/>
    <w:rsid w:val="0096040D"/>
    <w:rsid w:val="00960704"/>
    <w:rsid w:val="00961C33"/>
    <w:rsid w:val="00961F09"/>
    <w:rsid w:val="00964579"/>
    <w:rsid w:val="009667BB"/>
    <w:rsid w:val="00967116"/>
    <w:rsid w:val="009675A3"/>
    <w:rsid w:val="00973399"/>
    <w:rsid w:val="009738BF"/>
    <w:rsid w:val="009775A5"/>
    <w:rsid w:val="00981807"/>
    <w:rsid w:val="00983F7D"/>
    <w:rsid w:val="00986A78"/>
    <w:rsid w:val="00987018"/>
    <w:rsid w:val="00991D10"/>
    <w:rsid w:val="00993137"/>
    <w:rsid w:val="009965CC"/>
    <w:rsid w:val="0099765F"/>
    <w:rsid w:val="00997F83"/>
    <w:rsid w:val="009A0A59"/>
    <w:rsid w:val="009A366D"/>
    <w:rsid w:val="009A3C1C"/>
    <w:rsid w:val="009A5151"/>
    <w:rsid w:val="009A642A"/>
    <w:rsid w:val="009A67D3"/>
    <w:rsid w:val="009A67D4"/>
    <w:rsid w:val="009A6D0C"/>
    <w:rsid w:val="009A78CB"/>
    <w:rsid w:val="009B0B2B"/>
    <w:rsid w:val="009B16B7"/>
    <w:rsid w:val="009B3AA5"/>
    <w:rsid w:val="009B40AE"/>
    <w:rsid w:val="009B5B0A"/>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0913"/>
    <w:rsid w:val="00A42786"/>
    <w:rsid w:val="00A427BB"/>
    <w:rsid w:val="00A42AEC"/>
    <w:rsid w:val="00A44D87"/>
    <w:rsid w:val="00A47DC3"/>
    <w:rsid w:val="00A52D84"/>
    <w:rsid w:val="00A52F78"/>
    <w:rsid w:val="00A531EB"/>
    <w:rsid w:val="00A539F5"/>
    <w:rsid w:val="00A5580D"/>
    <w:rsid w:val="00A56BF5"/>
    <w:rsid w:val="00A623F5"/>
    <w:rsid w:val="00A6361E"/>
    <w:rsid w:val="00A64351"/>
    <w:rsid w:val="00A64690"/>
    <w:rsid w:val="00A73BF9"/>
    <w:rsid w:val="00A73E35"/>
    <w:rsid w:val="00A74A92"/>
    <w:rsid w:val="00A75B2F"/>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45D3"/>
    <w:rsid w:val="00AA50B9"/>
    <w:rsid w:val="00AA664C"/>
    <w:rsid w:val="00AA6EB8"/>
    <w:rsid w:val="00AA70CE"/>
    <w:rsid w:val="00AB52A5"/>
    <w:rsid w:val="00AB6946"/>
    <w:rsid w:val="00AC2829"/>
    <w:rsid w:val="00AC4B05"/>
    <w:rsid w:val="00AC4D94"/>
    <w:rsid w:val="00AC4FDB"/>
    <w:rsid w:val="00AC5FF8"/>
    <w:rsid w:val="00AC7684"/>
    <w:rsid w:val="00AD0D04"/>
    <w:rsid w:val="00AD1407"/>
    <w:rsid w:val="00AD4338"/>
    <w:rsid w:val="00AD49EB"/>
    <w:rsid w:val="00AD6B7D"/>
    <w:rsid w:val="00AD6D17"/>
    <w:rsid w:val="00AD7D4E"/>
    <w:rsid w:val="00AE0427"/>
    <w:rsid w:val="00AE0584"/>
    <w:rsid w:val="00AE0903"/>
    <w:rsid w:val="00AE1ED2"/>
    <w:rsid w:val="00AE1F38"/>
    <w:rsid w:val="00AE1F73"/>
    <w:rsid w:val="00AE210D"/>
    <w:rsid w:val="00AE250C"/>
    <w:rsid w:val="00AE35DC"/>
    <w:rsid w:val="00AE462A"/>
    <w:rsid w:val="00AE4AD0"/>
    <w:rsid w:val="00AF154F"/>
    <w:rsid w:val="00AF1B78"/>
    <w:rsid w:val="00AF2026"/>
    <w:rsid w:val="00AF385D"/>
    <w:rsid w:val="00AF3940"/>
    <w:rsid w:val="00AF4EB1"/>
    <w:rsid w:val="00AF7D97"/>
    <w:rsid w:val="00B025F9"/>
    <w:rsid w:val="00B03EC1"/>
    <w:rsid w:val="00B0529F"/>
    <w:rsid w:val="00B10B42"/>
    <w:rsid w:val="00B140A8"/>
    <w:rsid w:val="00B14639"/>
    <w:rsid w:val="00B15EAF"/>
    <w:rsid w:val="00B21237"/>
    <w:rsid w:val="00B21F91"/>
    <w:rsid w:val="00B231CD"/>
    <w:rsid w:val="00B24C98"/>
    <w:rsid w:val="00B274BB"/>
    <w:rsid w:val="00B27B35"/>
    <w:rsid w:val="00B31104"/>
    <w:rsid w:val="00B33806"/>
    <w:rsid w:val="00B33934"/>
    <w:rsid w:val="00B36913"/>
    <w:rsid w:val="00B36D31"/>
    <w:rsid w:val="00B42A73"/>
    <w:rsid w:val="00B43116"/>
    <w:rsid w:val="00B43842"/>
    <w:rsid w:val="00B43A23"/>
    <w:rsid w:val="00B44C01"/>
    <w:rsid w:val="00B470FF"/>
    <w:rsid w:val="00B50560"/>
    <w:rsid w:val="00B505D8"/>
    <w:rsid w:val="00B5167A"/>
    <w:rsid w:val="00B51A41"/>
    <w:rsid w:val="00B604CA"/>
    <w:rsid w:val="00B6255E"/>
    <w:rsid w:val="00B67B13"/>
    <w:rsid w:val="00B70BDE"/>
    <w:rsid w:val="00B71D03"/>
    <w:rsid w:val="00B758BF"/>
    <w:rsid w:val="00B77531"/>
    <w:rsid w:val="00B77606"/>
    <w:rsid w:val="00B80C11"/>
    <w:rsid w:val="00B82C62"/>
    <w:rsid w:val="00B843F5"/>
    <w:rsid w:val="00B85C3B"/>
    <w:rsid w:val="00B86F58"/>
    <w:rsid w:val="00B90D84"/>
    <w:rsid w:val="00B912E2"/>
    <w:rsid w:val="00B92013"/>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C748B"/>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4944"/>
    <w:rsid w:val="00D875B6"/>
    <w:rsid w:val="00D87694"/>
    <w:rsid w:val="00D902F9"/>
    <w:rsid w:val="00D91937"/>
    <w:rsid w:val="00D9397F"/>
    <w:rsid w:val="00D93CAD"/>
    <w:rsid w:val="00D96495"/>
    <w:rsid w:val="00D97063"/>
    <w:rsid w:val="00D97565"/>
    <w:rsid w:val="00DA08E2"/>
    <w:rsid w:val="00DA1189"/>
    <w:rsid w:val="00DA2DFE"/>
    <w:rsid w:val="00DA459E"/>
    <w:rsid w:val="00DA52A0"/>
    <w:rsid w:val="00DA53EB"/>
    <w:rsid w:val="00DA648C"/>
    <w:rsid w:val="00DA6EA5"/>
    <w:rsid w:val="00DA7ADE"/>
    <w:rsid w:val="00DA7F77"/>
    <w:rsid w:val="00DB2ADB"/>
    <w:rsid w:val="00DB302C"/>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36351"/>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1CC"/>
    <w:rsid w:val="00E708BB"/>
    <w:rsid w:val="00E72E16"/>
    <w:rsid w:val="00E75D41"/>
    <w:rsid w:val="00E76719"/>
    <w:rsid w:val="00E82038"/>
    <w:rsid w:val="00E836A7"/>
    <w:rsid w:val="00E84833"/>
    <w:rsid w:val="00E859B9"/>
    <w:rsid w:val="00E85C8D"/>
    <w:rsid w:val="00E85E8B"/>
    <w:rsid w:val="00E8766F"/>
    <w:rsid w:val="00E90A22"/>
    <w:rsid w:val="00E93673"/>
    <w:rsid w:val="00E947A3"/>
    <w:rsid w:val="00E94A08"/>
    <w:rsid w:val="00E954F5"/>
    <w:rsid w:val="00E97668"/>
    <w:rsid w:val="00E97B96"/>
    <w:rsid w:val="00EA1D5A"/>
    <w:rsid w:val="00EA1ECD"/>
    <w:rsid w:val="00EA5CC2"/>
    <w:rsid w:val="00EB0014"/>
    <w:rsid w:val="00EB031B"/>
    <w:rsid w:val="00EB65C6"/>
    <w:rsid w:val="00EB6884"/>
    <w:rsid w:val="00EB6E1C"/>
    <w:rsid w:val="00EC1D42"/>
    <w:rsid w:val="00EC3F8C"/>
    <w:rsid w:val="00EC4AF3"/>
    <w:rsid w:val="00EC7836"/>
    <w:rsid w:val="00ED1EC9"/>
    <w:rsid w:val="00ED5A6B"/>
    <w:rsid w:val="00ED79C1"/>
    <w:rsid w:val="00EE0C97"/>
    <w:rsid w:val="00EE1A40"/>
    <w:rsid w:val="00EE2D0C"/>
    <w:rsid w:val="00EE55BA"/>
    <w:rsid w:val="00EE586B"/>
    <w:rsid w:val="00EE58BF"/>
    <w:rsid w:val="00EE7AB6"/>
    <w:rsid w:val="00EF0170"/>
    <w:rsid w:val="00EF2662"/>
    <w:rsid w:val="00EF5E7F"/>
    <w:rsid w:val="00EF6EA4"/>
    <w:rsid w:val="00F014AF"/>
    <w:rsid w:val="00F02EFA"/>
    <w:rsid w:val="00F03444"/>
    <w:rsid w:val="00F06992"/>
    <w:rsid w:val="00F07024"/>
    <w:rsid w:val="00F071DA"/>
    <w:rsid w:val="00F074C9"/>
    <w:rsid w:val="00F11BF3"/>
    <w:rsid w:val="00F142C8"/>
    <w:rsid w:val="00F17DCB"/>
    <w:rsid w:val="00F205A3"/>
    <w:rsid w:val="00F20B51"/>
    <w:rsid w:val="00F21077"/>
    <w:rsid w:val="00F2543F"/>
    <w:rsid w:val="00F25717"/>
    <w:rsid w:val="00F25A77"/>
    <w:rsid w:val="00F26497"/>
    <w:rsid w:val="00F26E15"/>
    <w:rsid w:val="00F27524"/>
    <w:rsid w:val="00F301CD"/>
    <w:rsid w:val="00F30DFF"/>
    <w:rsid w:val="00F31D84"/>
    <w:rsid w:val="00F3280A"/>
    <w:rsid w:val="00F33F41"/>
    <w:rsid w:val="00F35BD9"/>
    <w:rsid w:val="00F361FA"/>
    <w:rsid w:val="00F3758B"/>
    <w:rsid w:val="00F41B6F"/>
    <w:rsid w:val="00F4576E"/>
    <w:rsid w:val="00F45D35"/>
    <w:rsid w:val="00F466DB"/>
    <w:rsid w:val="00F46D13"/>
    <w:rsid w:val="00F47F3A"/>
    <w:rsid w:val="00F50228"/>
    <w:rsid w:val="00F51D7C"/>
    <w:rsid w:val="00F53F58"/>
    <w:rsid w:val="00F61714"/>
    <w:rsid w:val="00F61A44"/>
    <w:rsid w:val="00F6256F"/>
    <w:rsid w:val="00F63D96"/>
    <w:rsid w:val="00F646B0"/>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1987"/>
    <w:rsid w:val="00FB2224"/>
    <w:rsid w:val="00FB2E79"/>
    <w:rsid w:val="00FB533B"/>
    <w:rsid w:val="00FB76D0"/>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475A28"/>
    <w:pPr>
      <w:tabs>
        <w:tab w:val="left" w:pos="9720"/>
        <w:tab w:val="right" w:leader="dot" w:pos="10790"/>
      </w:tabs>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5F5D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plagiari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re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3420"/>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15A2"/>
    <w:rsid w:val="00946638"/>
    <w:rsid w:val="009535DB"/>
    <w:rsid w:val="009718F4"/>
    <w:rsid w:val="0097460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30280"/>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E69EA"/>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2586B"/>
    <w:rsid w:val="00F3317A"/>
    <w:rsid w:val="00F426B2"/>
    <w:rsid w:val="00F42E5F"/>
    <w:rsid w:val="00F470E2"/>
    <w:rsid w:val="00F579B8"/>
    <w:rsid w:val="00F675A3"/>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4AED-34CF-46EF-BA5E-144FF107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TotalTime>
  <Pages>11</Pages>
  <Words>5183</Words>
  <Characters>29545</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Syllabus for History II for Distance Education</vt:lpstr>
      <vt:lpstr>    Course Information</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2021-01-28T03:00:00Z</cp:lastPrinted>
  <dcterms:created xsi:type="dcterms:W3CDTF">2021-01-28T03:01:00Z</dcterms:created>
  <dcterms:modified xsi:type="dcterms:W3CDTF">2021-01-28T03:04:00Z</dcterms:modified>
</cp:coreProperties>
</file>