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C9" w:rsidRDefault="00477346">
      <w:pPr>
        <w:rPr>
          <w:sz w:val="32"/>
          <w:szCs w:val="32"/>
        </w:rPr>
      </w:pPr>
      <w:r>
        <w:rPr>
          <w:sz w:val="32"/>
          <w:szCs w:val="32"/>
        </w:rPr>
        <w:t xml:space="preserve">Lesson 1: Reform and Change—Comparing the Sections  </w:t>
      </w:r>
    </w:p>
    <w:tbl>
      <w:tblPr>
        <w:tblStyle w:val="TableGrid"/>
        <w:tblW w:w="0" w:type="auto"/>
        <w:tblInd w:w="0" w:type="dxa"/>
        <w:tblLook w:val="04A0" w:firstRow="1" w:lastRow="0" w:firstColumn="1" w:lastColumn="0" w:noHBand="0" w:noVBand="1"/>
      </w:tblPr>
      <w:tblGrid>
        <w:gridCol w:w="5935"/>
      </w:tblGrid>
      <w:tr w:rsidR="009E6B85" w:rsidTr="009E6B85">
        <w:tc>
          <w:tcPr>
            <w:tcW w:w="5935" w:type="dxa"/>
          </w:tcPr>
          <w:p w:rsidR="009E6B85" w:rsidRDefault="009E6B85" w:rsidP="009E6B85">
            <w:pPr>
              <w:rPr>
                <w:rFonts w:cs="Arial"/>
              </w:rPr>
            </w:pPr>
            <w:r>
              <w:rPr>
                <w:rFonts w:cs="Arial"/>
                <w:b/>
              </w:rPr>
              <w:t>Lesson 1</w:t>
            </w:r>
            <w:r>
              <w:rPr>
                <w:rFonts w:cs="Arial"/>
              </w:rPr>
              <w:t xml:space="preserve"> –Use its</w:t>
            </w:r>
            <w:r>
              <w:rPr>
                <w:rFonts w:cs="Arial"/>
                <w:b/>
              </w:rPr>
              <w:t xml:space="preserve"> Learning Quiz on Essential Terms 1</w:t>
            </w:r>
            <w:r>
              <w:rPr>
                <w:rFonts w:cs="Arial"/>
                <w:b/>
                <w:vertAlign w:val="superscript"/>
              </w:rPr>
              <w:t>st</w:t>
            </w:r>
          </w:p>
          <w:p w:rsidR="009E6B85" w:rsidRDefault="009E6B85" w:rsidP="009E6B85">
            <w:pPr>
              <w:pStyle w:val="ListParagraph"/>
              <w:numPr>
                <w:ilvl w:val="0"/>
                <w:numId w:val="3"/>
              </w:numPr>
              <w:spacing w:after="0" w:line="240" w:lineRule="auto"/>
              <w:rPr>
                <w:rFonts w:cs="Arial"/>
              </w:rPr>
            </w:pPr>
            <w:r>
              <w:rPr>
                <w:rFonts w:cs="Arial"/>
              </w:rPr>
              <w:t>North and South compared – past traits still apply</w:t>
            </w:r>
          </w:p>
          <w:p w:rsidR="009E6B85" w:rsidRDefault="009E6B85" w:rsidP="009E6B85">
            <w:pPr>
              <w:pStyle w:val="ListParagraph"/>
              <w:numPr>
                <w:ilvl w:val="0"/>
                <w:numId w:val="3"/>
              </w:numPr>
              <w:spacing w:after="0" w:line="240" w:lineRule="auto"/>
              <w:rPr>
                <w:rFonts w:cs="Arial"/>
              </w:rPr>
            </w:pPr>
            <w:r>
              <w:rPr>
                <w:rFonts w:cs="Arial"/>
              </w:rPr>
              <w:t>Development of South’s characteristics from the 1830s</w:t>
            </w:r>
          </w:p>
          <w:p w:rsidR="009E6B85" w:rsidRDefault="009E6B85" w:rsidP="009E6B85">
            <w:pPr>
              <w:pStyle w:val="ListParagraph"/>
              <w:numPr>
                <w:ilvl w:val="1"/>
                <w:numId w:val="3"/>
              </w:numPr>
              <w:spacing w:after="0" w:line="240" w:lineRule="auto"/>
              <w:ind w:left="720"/>
              <w:rPr>
                <w:rFonts w:cs="Arial"/>
              </w:rPr>
            </w:pPr>
            <w:r>
              <w:rPr>
                <w:rFonts w:cs="Arial"/>
              </w:rPr>
              <w:t>“peculiar institution”</w:t>
            </w:r>
          </w:p>
          <w:p w:rsidR="009E6B85" w:rsidRDefault="009E6B85" w:rsidP="009E6B85">
            <w:pPr>
              <w:pStyle w:val="ListParagraph"/>
              <w:numPr>
                <w:ilvl w:val="1"/>
                <w:numId w:val="3"/>
              </w:numPr>
              <w:spacing w:after="0" w:line="240" w:lineRule="auto"/>
              <w:ind w:left="720"/>
              <w:rPr>
                <w:rFonts w:cs="Arial"/>
              </w:rPr>
            </w:pPr>
            <w:r>
              <w:rPr>
                <w:rFonts w:cs="Arial"/>
              </w:rPr>
              <w:t xml:space="preserve">Slavery from “necessary evil” to a “positive good” </w:t>
            </w:r>
          </w:p>
          <w:p w:rsidR="009E6B85" w:rsidRDefault="009E6B85" w:rsidP="009E6B85">
            <w:pPr>
              <w:pStyle w:val="ListParagraph"/>
              <w:numPr>
                <w:ilvl w:val="1"/>
                <w:numId w:val="3"/>
              </w:numPr>
              <w:spacing w:after="0" w:line="240" w:lineRule="auto"/>
              <w:ind w:left="720"/>
              <w:rPr>
                <w:rFonts w:cs="Arial"/>
              </w:rPr>
            </w:pPr>
            <w:r>
              <w:rPr>
                <w:rFonts w:cs="Arial"/>
              </w:rPr>
              <w:t xml:space="preserve">Slavery, international markets (Britain, France) in cotton, cotton gin as only technology </w:t>
            </w:r>
          </w:p>
          <w:p w:rsidR="009E6B85" w:rsidRDefault="009E6B85" w:rsidP="009E6B85">
            <w:pPr>
              <w:pStyle w:val="ListParagraph"/>
              <w:numPr>
                <w:ilvl w:val="0"/>
                <w:numId w:val="3"/>
              </w:numPr>
              <w:spacing w:after="0" w:line="240" w:lineRule="auto"/>
              <w:rPr>
                <w:rFonts w:cs="Arial"/>
              </w:rPr>
            </w:pPr>
            <w:r>
              <w:rPr>
                <w:rFonts w:cs="Arial"/>
              </w:rPr>
              <w:t>North’s characteristics from the 1830s</w:t>
            </w:r>
          </w:p>
          <w:p w:rsidR="009E6B85" w:rsidRDefault="009E6B85" w:rsidP="009E6B85">
            <w:pPr>
              <w:pStyle w:val="ListParagraph"/>
              <w:numPr>
                <w:ilvl w:val="1"/>
                <w:numId w:val="3"/>
              </w:numPr>
              <w:spacing w:after="0" w:line="240" w:lineRule="auto"/>
              <w:ind w:left="720"/>
              <w:rPr>
                <w:rFonts w:cs="Arial"/>
              </w:rPr>
            </w:pPr>
            <w:r>
              <w:rPr>
                <w:rFonts w:cs="Arial"/>
              </w:rPr>
              <w:t>Varied reform movements (examples in #5.)</w:t>
            </w:r>
          </w:p>
          <w:p w:rsidR="009E6B85" w:rsidRDefault="009E6B85" w:rsidP="009E6B85">
            <w:pPr>
              <w:pStyle w:val="ListParagraph"/>
              <w:numPr>
                <w:ilvl w:val="1"/>
                <w:numId w:val="3"/>
              </w:numPr>
              <w:spacing w:after="0" w:line="240" w:lineRule="auto"/>
              <w:ind w:left="720"/>
              <w:rPr>
                <w:rFonts w:cs="Arial"/>
              </w:rPr>
            </w:pPr>
            <w:r>
              <w:rPr>
                <w:rFonts w:cs="Arial"/>
                <w:u w:val="single"/>
              </w:rPr>
              <w:t>Against slavery:</w:t>
            </w:r>
            <w:r>
              <w:rPr>
                <w:rFonts w:cs="Arial"/>
              </w:rPr>
              <w:t xml:space="preserve"> American Anti-Slavery Society,</w:t>
            </w:r>
            <w:r>
              <w:rPr>
                <w:rFonts w:cs="Arial"/>
                <w:b/>
              </w:rPr>
              <w:t xml:space="preserve"> small</w:t>
            </w:r>
            <w:r>
              <w:rPr>
                <w:rFonts w:cs="Arial"/>
              </w:rPr>
              <w:t xml:space="preserve">, for immediate abolition of slavery, and: </w:t>
            </w:r>
          </w:p>
          <w:p w:rsidR="009E6B85" w:rsidRDefault="009E6B85" w:rsidP="009E6B85">
            <w:pPr>
              <w:pStyle w:val="ListParagraph"/>
              <w:numPr>
                <w:ilvl w:val="2"/>
                <w:numId w:val="3"/>
              </w:numPr>
              <w:spacing w:after="0" w:line="240" w:lineRule="auto"/>
              <w:ind w:left="1080" w:hanging="360"/>
              <w:rPr>
                <w:rFonts w:cs="Arial"/>
              </w:rPr>
            </w:pPr>
            <w:r>
              <w:rPr>
                <w:rFonts w:cs="Arial"/>
              </w:rPr>
              <w:t xml:space="preserve">William Lloyd Garrison - </w:t>
            </w:r>
            <w:r>
              <w:rPr>
                <w:rFonts w:cs="Arial"/>
                <w:i/>
              </w:rPr>
              <w:t>The Liberator</w:t>
            </w:r>
          </w:p>
          <w:p w:rsidR="009E6B85" w:rsidRDefault="009E6B85" w:rsidP="009E6B85">
            <w:pPr>
              <w:pStyle w:val="ListParagraph"/>
              <w:numPr>
                <w:ilvl w:val="2"/>
                <w:numId w:val="3"/>
              </w:numPr>
              <w:spacing w:after="0" w:line="240" w:lineRule="auto"/>
              <w:ind w:left="1080" w:hanging="360"/>
              <w:rPr>
                <w:rFonts w:cs="Arial"/>
              </w:rPr>
            </w:pPr>
            <w:r>
              <w:rPr>
                <w:rFonts w:cs="Arial"/>
              </w:rPr>
              <w:t>Frederick Douglass -</w:t>
            </w:r>
            <w:r>
              <w:rPr>
                <w:rFonts w:cs="Arial"/>
                <w:i/>
              </w:rPr>
              <w:t xml:space="preserve"> The North Star </w:t>
            </w:r>
            <w:r>
              <w:rPr>
                <w:rFonts w:cs="Arial"/>
              </w:rPr>
              <w:t>(African American, former slave)</w:t>
            </w:r>
          </w:p>
          <w:p w:rsidR="009E6B85" w:rsidRDefault="009E6B85" w:rsidP="009E6B85">
            <w:pPr>
              <w:pStyle w:val="ListParagraph"/>
              <w:numPr>
                <w:ilvl w:val="1"/>
                <w:numId w:val="3"/>
              </w:numPr>
              <w:spacing w:after="0" w:line="240" w:lineRule="auto"/>
              <w:ind w:left="720"/>
              <w:rPr>
                <w:rFonts w:cs="Arial"/>
              </w:rPr>
            </w:pPr>
            <w:r>
              <w:rPr>
                <w:rFonts w:cs="Arial"/>
                <w:u w:val="single"/>
              </w:rPr>
              <w:t>Against slavery:</w:t>
            </w:r>
            <w:r>
              <w:rPr>
                <w:rFonts w:cs="Arial"/>
              </w:rPr>
              <w:t xml:space="preserve"> Underground railroad, small</w:t>
            </w:r>
          </w:p>
          <w:p w:rsidR="009E6B85" w:rsidRDefault="009E6B85" w:rsidP="009E6B85">
            <w:pPr>
              <w:pStyle w:val="ListParagraph"/>
              <w:numPr>
                <w:ilvl w:val="0"/>
                <w:numId w:val="3"/>
              </w:numPr>
              <w:spacing w:after="0" w:line="240" w:lineRule="auto"/>
              <w:rPr>
                <w:rFonts w:cs="Arial"/>
              </w:rPr>
            </w:pPr>
            <w:r>
              <w:rPr>
                <w:rFonts w:cs="Arial"/>
              </w:rPr>
              <w:t>North’s varied general reform movements</w:t>
            </w:r>
          </w:p>
          <w:p w:rsidR="009E6B85" w:rsidRDefault="009E6B85" w:rsidP="009E6B85">
            <w:pPr>
              <w:pStyle w:val="ListParagraph"/>
              <w:numPr>
                <w:ilvl w:val="1"/>
                <w:numId w:val="3"/>
              </w:numPr>
              <w:spacing w:after="0" w:line="240" w:lineRule="auto"/>
              <w:ind w:left="720"/>
              <w:rPr>
                <w:rFonts w:cs="Arial"/>
              </w:rPr>
            </w:pPr>
            <w:r>
              <w:rPr>
                <w:rFonts w:cs="Arial"/>
              </w:rPr>
              <w:t>Insane asylums and prisons and Dorothea Dix</w:t>
            </w:r>
          </w:p>
          <w:p w:rsidR="009E6B85" w:rsidRDefault="009E6B85" w:rsidP="009E6B85">
            <w:pPr>
              <w:pStyle w:val="ListParagraph"/>
              <w:numPr>
                <w:ilvl w:val="1"/>
                <w:numId w:val="3"/>
              </w:numPr>
              <w:spacing w:after="0" w:line="240" w:lineRule="auto"/>
              <w:ind w:left="720"/>
              <w:rPr>
                <w:rFonts w:cs="Arial"/>
              </w:rPr>
            </w:pPr>
            <w:r>
              <w:rPr>
                <w:rFonts w:cs="Arial"/>
              </w:rPr>
              <w:t>Suffrage and Susan B. Anthony</w:t>
            </w:r>
          </w:p>
          <w:p w:rsidR="009E6B85" w:rsidRDefault="009E6B85" w:rsidP="009E6B85">
            <w:pPr>
              <w:pStyle w:val="ListParagraph"/>
              <w:numPr>
                <w:ilvl w:val="1"/>
                <w:numId w:val="3"/>
              </w:numPr>
              <w:spacing w:after="0" w:line="240" w:lineRule="auto"/>
              <w:ind w:left="720"/>
              <w:rPr>
                <w:rFonts w:cs="Arial"/>
              </w:rPr>
            </w:pPr>
            <w:r>
              <w:rPr>
                <w:rFonts w:cs="Arial"/>
              </w:rPr>
              <w:t>Temperance</w:t>
            </w:r>
          </w:p>
          <w:p w:rsidR="009E6B85" w:rsidRPr="009E6B85" w:rsidRDefault="009E6B85" w:rsidP="009E6B85">
            <w:pPr>
              <w:pStyle w:val="ListParagraph"/>
              <w:numPr>
                <w:ilvl w:val="1"/>
                <w:numId w:val="3"/>
              </w:numPr>
              <w:spacing w:after="0" w:line="240" w:lineRule="auto"/>
              <w:ind w:left="720"/>
              <w:rPr>
                <w:rFonts w:cs="Arial"/>
              </w:rPr>
            </w:pPr>
            <w:r>
              <w:rPr>
                <w:rFonts w:cs="Arial"/>
              </w:rPr>
              <w:t>Utopian communes (such as Shakers)</w:t>
            </w:r>
          </w:p>
        </w:tc>
      </w:tr>
    </w:tbl>
    <w:p w:rsidR="009E6B85" w:rsidRPr="00DF31A2" w:rsidRDefault="009E6B85">
      <w:pPr>
        <w:rPr>
          <w:sz w:val="16"/>
          <w:szCs w:val="16"/>
        </w:rPr>
      </w:pPr>
    </w:p>
    <w:p w:rsidR="000143C9" w:rsidRDefault="00477346">
      <w:pPr>
        <w:pStyle w:val="TOC2"/>
        <w:tabs>
          <w:tab w:val="right" w:leader="dot" w:pos="10790"/>
        </w:tabs>
        <w:rPr>
          <w:rFonts w:eastAsiaTheme="minorEastAsia"/>
          <w:noProof/>
        </w:rPr>
      </w:pPr>
      <w:r>
        <w:rPr>
          <w:sz w:val="32"/>
          <w:szCs w:val="32"/>
        </w:rPr>
        <w:fldChar w:fldCharType="begin"/>
      </w:r>
      <w:r>
        <w:rPr>
          <w:sz w:val="32"/>
          <w:szCs w:val="32"/>
        </w:rPr>
        <w:instrText xml:space="preserve"> TOC \o "2-2" \n \p " " \h \z \u </w:instrText>
      </w:r>
      <w:r>
        <w:rPr>
          <w:sz w:val="32"/>
          <w:szCs w:val="32"/>
        </w:rPr>
        <w:fldChar w:fldCharType="separate"/>
      </w:r>
      <w:hyperlink w:anchor="_Toc449234290" w:history="1">
        <w:r>
          <w:rPr>
            <w:rStyle w:val="Hyperlink"/>
            <w:noProof/>
          </w:rPr>
          <w:t>Comparing the North (old NE and new NW) and South (old Southeast and new Southwest)</w:t>
        </w:r>
      </w:hyperlink>
    </w:p>
    <w:p w:rsidR="000143C9" w:rsidRDefault="00A70B8B">
      <w:pPr>
        <w:pStyle w:val="TOC2"/>
        <w:tabs>
          <w:tab w:val="right" w:leader="dot" w:pos="10790"/>
        </w:tabs>
        <w:rPr>
          <w:rFonts w:eastAsiaTheme="minorEastAsia"/>
          <w:noProof/>
        </w:rPr>
      </w:pPr>
      <w:hyperlink w:anchor="_Toc449234291" w:history="1">
        <w:r w:rsidR="00477346">
          <w:rPr>
            <w:rStyle w:val="Hyperlink"/>
            <w:noProof/>
          </w:rPr>
          <w:t>Pre-1820s and the North and South’s Shared Vision of the End of Slavery</w:t>
        </w:r>
      </w:hyperlink>
    </w:p>
    <w:p w:rsidR="000143C9" w:rsidRDefault="00A70B8B">
      <w:pPr>
        <w:pStyle w:val="TOC2"/>
        <w:tabs>
          <w:tab w:val="right" w:leader="dot" w:pos="10790"/>
        </w:tabs>
        <w:rPr>
          <w:rFonts w:eastAsiaTheme="minorEastAsia"/>
          <w:noProof/>
        </w:rPr>
      </w:pPr>
      <w:hyperlink w:anchor="_Toc449234292" w:history="1">
        <w:r w:rsidR="00477346">
          <w:rPr>
            <w:rStyle w:val="Hyperlink"/>
            <w:noProof/>
          </w:rPr>
          <w:t>Maintaining the Past in the South</w:t>
        </w:r>
      </w:hyperlink>
    </w:p>
    <w:p w:rsidR="000143C9" w:rsidRDefault="00A70B8B">
      <w:pPr>
        <w:pStyle w:val="TOC2"/>
        <w:tabs>
          <w:tab w:val="right" w:leader="dot" w:pos="10790"/>
        </w:tabs>
        <w:rPr>
          <w:rFonts w:eastAsiaTheme="minorEastAsia"/>
          <w:noProof/>
        </w:rPr>
      </w:pPr>
      <w:hyperlink w:anchor="_Toc449234293" w:history="1">
        <w:r w:rsidR="00477346">
          <w:rPr>
            <w:rStyle w:val="Hyperlink"/>
            <w:noProof/>
          </w:rPr>
          <w:t>Maintaining the Power in the South</w:t>
        </w:r>
      </w:hyperlink>
    </w:p>
    <w:p w:rsidR="000143C9" w:rsidRDefault="00A70B8B">
      <w:pPr>
        <w:pStyle w:val="TOC2"/>
        <w:tabs>
          <w:tab w:val="right" w:leader="dot" w:pos="10790"/>
        </w:tabs>
        <w:rPr>
          <w:rFonts w:eastAsiaTheme="minorEastAsia"/>
          <w:noProof/>
        </w:rPr>
      </w:pPr>
      <w:hyperlink w:anchor="_Toc449234294" w:history="1">
        <w:r w:rsidR="00477346">
          <w:rPr>
            <w:rStyle w:val="Hyperlink"/>
            <w:noProof/>
          </w:rPr>
          <w:t>Post-1820s, Shifting to Reform in the North about Ending Slavery</w:t>
        </w:r>
      </w:hyperlink>
    </w:p>
    <w:p w:rsidR="000143C9" w:rsidRDefault="00A70B8B">
      <w:pPr>
        <w:pStyle w:val="TOC2"/>
        <w:tabs>
          <w:tab w:val="right" w:leader="dot" w:pos="10790"/>
        </w:tabs>
        <w:rPr>
          <w:rFonts w:eastAsiaTheme="minorEastAsia"/>
          <w:noProof/>
        </w:rPr>
      </w:pPr>
      <w:hyperlink w:anchor="_Toc449234295" w:history="1">
        <w:r w:rsidR="00477346">
          <w:rPr>
            <w:rStyle w:val="Hyperlink"/>
            <w:noProof/>
          </w:rPr>
          <w:t>Post-1820s, Shifting to Varied Reforms in the North in Addition to Ending Slavery</w:t>
        </w:r>
      </w:hyperlink>
    </w:p>
    <w:p w:rsidR="000143C9" w:rsidRDefault="00477346">
      <w:pPr>
        <w:pStyle w:val="Heading2"/>
        <w:spacing w:line="240" w:lineRule="auto"/>
      </w:pPr>
      <w:r>
        <w:rPr>
          <w:sz w:val="32"/>
          <w:szCs w:val="32"/>
        </w:rPr>
        <w:fldChar w:fldCharType="end"/>
      </w:r>
      <w:bookmarkStart w:id="0" w:name="_Toc449234290"/>
      <w:r>
        <w:t>Comparing the North (old NE and new NW) and South (old Southeast and new Southwest)</w:t>
      </w:r>
      <w:bookmarkEnd w:id="0"/>
    </w:p>
    <w:p w:rsidR="000143C9" w:rsidRDefault="00477346">
      <w:pPr>
        <w:ind w:left="720"/>
      </w:pPr>
      <w:r>
        <w:t>The past from before 1830 continues and becomes the new reality. The border states—Delaware, Maryland, Kentucky, Missouri—vary from the old Southeast and the new Southwest, including in the trend to end slavery.</w:t>
      </w:r>
    </w:p>
    <w:tbl>
      <w:tblPr>
        <w:tblStyle w:val="TableGrid"/>
        <w:tblW w:w="0" w:type="auto"/>
        <w:tblInd w:w="864" w:type="dxa"/>
        <w:tblLook w:val="04A0" w:firstRow="1" w:lastRow="0" w:firstColumn="1" w:lastColumn="0" w:noHBand="0" w:noVBand="1"/>
      </w:tblPr>
      <w:tblGrid>
        <w:gridCol w:w="3192"/>
        <w:gridCol w:w="3192"/>
        <w:gridCol w:w="3192"/>
      </w:tblGrid>
      <w:tr w:rsidR="000143C9" w:rsidTr="006132F6">
        <w:trPr>
          <w:tblHeader/>
        </w:trPr>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rPr>
                <w:b/>
              </w:rPr>
            </w:pPr>
            <w:r>
              <w:rPr>
                <w:b/>
              </w:rPr>
              <w:t>Trait</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rPr>
                <w:b/>
              </w:rPr>
            </w:pPr>
            <w:r>
              <w:rPr>
                <w:b/>
              </w:rPr>
              <w:t>North</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rPr>
                <w:b/>
              </w:rPr>
            </w:pPr>
            <w:r>
              <w:rPr>
                <w:b/>
              </w:rPr>
              <w:t>South</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Education and literacy</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 xml:space="preserve">Public funding for public schools – North and Midwest  </w:t>
            </w:r>
          </w:p>
          <w:p w:rsidR="000143C9" w:rsidRDefault="00477346">
            <w:pPr>
              <w:spacing w:after="0"/>
            </w:pPr>
            <w:r>
              <w:t xml:space="preserve">1850, ½ white children 5-19 in school, mainly in the North </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 xml:space="preserve">Public schools - </w:t>
            </w:r>
            <w:r>
              <w:rPr>
                <w:b/>
              </w:rPr>
              <w:t>few</w:t>
            </w:r>
          </w:p>
          <w:p w:rsidR="000143C9" w:rsidRDefault="00477346">
            <w:pPr>
              <w:spacing w:after="0"/>
            </w:pPr>
            <w:r>
              <w:t>500,000 illiterate whites – ½ U.S. total</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Cities, large</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Climate and geography</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Cold in winter – requires preparation to survive</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Mild</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Economy, commerce (</w:t>
            </w:r>
            <w:r w:rsidR="006132F6">
              <w:t xml:space="preserve">sometimes called the </w:t>
            </w:r>
            <w:r>
              <w:t>carrying trade)</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 – They are still more dependent on British or Northern merchants</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Economy, finance (banks)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lastRenderedPageBreak/>
              <w:t>Economy, industry (production)</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 xml:space="preserve">Yes </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 with Kentucky as an exception (but it does not join the Confederacy).</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Economy, exports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line="240" w:lineRule="auto"/>
            </w:pPr>
            <w:r>
              <w:t>Yes--mixed</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line="240" w:lineRule="auto"/>
            </w:pPr>
            <w:r>
              <w:t>“Cotton is King.”</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Labor and farmer owners and craftsmen, immigrants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Labor and some craftsmen, slavery – and for what crop by 1860?</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 African American slaves as craftsmen</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Technology, agriculture</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Cotton gin</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Technology, transportation</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r>
      <w:tr w:rsidR="000143C9">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Trade relationships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Yes</w:t>
            </w:r>
          </w:p>
        </w:tc>
        <w:tc>
          <w:tcPr>
            <w:tcW w:w="3192" w:type="dxa"/>
            <w:tcBorders>
              <w:top w:val="single" w:sz="4" w:space="0" w:color="auto"/>
              <w:left w:val="single" w:sz="4" w:space="0" w:color="auto"/>
              <w:bottom w:val="single" w:sz="4" w:space="0" w:color="auto"/>
              <w:right w:val="single" w:sz="4" w:space="0" w:color="auto"/>
            </w:tcBorders>
            <w:hideMark/>
          </w:tcPr>
          <w:p w:rsidR="000143C9" w:rsidRDefault="00477346">
            <w:pPr>
              <w:spacing w:after="0"/>
            </w:pPr>
            <w:r>
              <w:t>No</w:t>
            </w:r>
          </w:p>
        </w:tc>
      </w:tr>
    </w:tbl>
    <w:p w:rsidR="000143C9" w:rsidRDefault="00477346">
      <w:pPr>
        <w:pStyle w:val="Heading2"/>
      </w:pPr>
      <w:bookmarkStart w:id="1" w:name="_Toc449234291"/>
      <w:r>
        <w:t>Pre-1820s and the North and South’s Shared Vision of the End of Slavery</w:t>
      </w:r>
      <w:bookmarkEnd w:id="1"/>
    </w:p>
    <w:p w:rsidR="000143C9" w:rsidRDefault="00477346">
      <w:pPr>
        <w:ind w:left="720"/>
        <w:rPr>
          <w:rFonts w:asciiTheme="majorHAnsi" w:hAnsiTheme="majorHAnsi" w:cstheme="majorBidi"/>
          <w:sz w:val="26"/>
          <w:szCs w:val="26"/>
        </w:rPr>
      </w:pPr>
      <w:r>
        <w:t>American</w:t>
      </w:r>
      <w:r>
        <w:rPr>
          <w:sz w:val="32"/>
          <w:szCs w:val="32"/>
        </w:rPr>
        <w:t xml:space="preserve"> </w:t>
      </w:r>
      <w:r>
        <w:t>Colonization Society – Liberia – Monrovia – What it advocated? How it worked?</w:t>
      </w:r>
      <w:bookmarkStart w:id="2" w:name="_Toc449234292"/>
      <w:r>
        <w:t xml:space="preserve"> Maintaining the Past in the South</w:t>
      </w:r>
      <w:bookmarkEnd w:id="2"/>
      <w:r>
        <w:t xml:space="preserve">  </w:t>
      </w:r>
    </w:p>
    <w:p w:rsidR="000143C9" w:rsidRDefault="00477346">
      <w:pPr>
        <w:pStyle w:val="ListParagraph"/>
        <w:numPr>
          <w:ilvl w:val="0"/>
          <w:numId w:val="2"/>
        </w:numPr>
      </w:pPr>
      <w:r>
        <w:t>Beliefs in virtue of rural life (not cities), agrarian economy (not industry) and white supremacy</w:t>
      </w:r>
    </w:p>
    <w:p w:rsidR="000143C9" w:rsidRDefault="00477346">
      <w:pPr>
        <w:pStyle w:val="ListParagraph"/>
        <w:numPr>
          <w:ilvl w:val="0"/>
          <w:numId w:val="2"/>
        </w:numPr>
      </w:pPr>
      <w:r>
        <w:t>The language of slaveholders and Southern</w:t>
      </w:r>
    </w:p>
    <w:p w:rsidR="000143C9" w:rsidRDefault="00477346">
      <w:pPr>
        <w:pStyle w:val="ListParagraph"/>
        <w:numPr>
          <w:ilvl w:val="1"/>
          <w:numId w:val="2"/>
        </w:numPr>
        <w:ind w:left="1440"/>
        <w:rPr>
          <w:i/>
        </w:rPr>
      </w:pPr>
      <w:r>
        <w:t>Peculiar institution</w:t>
      </w:r>
      <w:r>
        <w:rPr>
          <w:i/>
        </w:rPr>
        <w:t xml:space="preserve"> </w:t>
      </w:r>
      <w:r>
        <w:t xml:space="preserve">– as in </w:t>
      </w:r>
      <w:r>
        <w:rPr>
          <w:i/>
        </w:rPr>
        <w:t>unique</w:t>
      </w:r>
    </w:p>
    <w:p w:rsidR="000143C9" w:rsidRDefault="00477346">
      <w:pPr>
        <w:pStyle w:val="ListParagraph"/>
        <w:numPr>
          <w:ilvl w:val="1"/>
          <w:numId w:val="2"/>
        </w:numPr>
        <w:ind w:left="1440"/>
      </w:pPr>
      <w:r>
        <w:t>Justification of slavery</w:t>
      </w:r>
      <w:r>
        <w:br/>
        <w:t xml:space="preserve">- from a necessary evil </w:t>
      </w:r>
      <w:r>
        <w:br/>
        <w:t>- to a positive good –</w:t>
      </w:r>
      <w:r>
        <w:rPr>
          <w:i/>
        </w:rPr>
        <w:t xml:space="preserve"> </w:t>
      </w:r>
      <w:r>
        <w:t xml:space="preserve">Bible </w:t>
      </w:r>
      <w:r>
        <w:rPr>
          <w:i/>
        </w:rPr>
        <w:t xml:space="preserve">- </w:t>
      </w:r>
      <w:r>
        <w:t>John C. Calhoun - Senator Hammond on Northern workers as “mudsills” who should be slaves for their own sake and for the North’s sake  (If you would like this added as a primary, just ask.)</w:t>
      </w:r>
    </w:p>
    <w:p w:rsidR="000143C9" w:rsidRDefault="00477346">
      <w:pPr>
        <w:pStyle w:val="ListParagraph"/>
        <w:numPr>
          <w:ilvl w:val="0"/>
          <w:numId w:val="2"/>
        </w:numPr>
      </w:pPr>
      <w:r>
        <w:t>Classes in the South – Whites and Quantities</w:t>
      </w:r>
    </w:p>
    <w:p w:rsidR="000143C9" w:rsidRDefault="00477346">
      <w:pPr>
        <w:pStyle w:val="ListParagraph"/>
        <w:numPr>
          <w:ilvl w:val="1"/>
          <w:numId w:val="2"/>
        </w:numPr>
        <w:ind w:left="1440"/>
      </w:pPr>
      <w:r>
        <w:t>White planters, great influence but only 4% in the South and owned more than 50% of the slaves</w:t>
      </w:r>
      <w:r>
        <w:rPr>
          <w:vertAlign w:val="superscript"/>
        </w:rPr>
        <w:t xml:space="preserve"> </w:t>
      </w:r>
      <w:r>
        <w:t>(Note: only 1/4 of whites had any direct interest in slavery.)</w:t>
      </w:r>
    </w:p>
    <w:p w:rsidR="000143C9" w:rsidRDefault="00477346">
      <w:pPr>
        <w:pStyle w:val="ListParagraph"/>
        <w:numPr>
          <w:ilvl w:val="1"/>
          <w:numId w:val="2"/>
        </w:numPr>
        <w:ind w:left="1440"/>
      </w:pPr>
      <w:r>
        <w:t>Overseers, employees (rarely black)</w:t>
      </w:r>
    </w:p>
    <w:p w:rsidR="000143C9" w:rsidRDefault="00477346">
      <w:pPr>
        <w:pStyle w:val="ListParagraph"/>
        <w:numPr>
          <w:ilvl w:val="1"/>
          <w:numId w:val="2"/>
        </w:numPr>
        <w:ind w:left="1440"/>
      </w:pPr>
      <w:r>
        <w:t>Senator Hammond – “in a slave country, every freeman is an aristocrat”</w:t>
      </w:r>
    </w:p>
    <w:p w:rsidR="000143C9" w:rsidRDefault="00477346">
      <w:pPr>
        <w:pStyle w:val="ListParagraph"/>
        <w:numPr>
          <w:ilvl w:val="2"/>
          <w:numId w:val="2"/>
        </w:numPr>
      </w:pPr>
      <w:r>
        <w:t xml:space="preserve">“Plain white folk,” yeoman farmers </w:t>
      </w:r>
    </w:p>
    <w:p w:rsidR="000143C9" w:rsidRDefault="00477346">
      <w:pPr>
        <w:pStyle w:val="ListParagraph"/>
        <w:numPr>
          <w:ilvl w:val="2"/>
          <w:numId w:val="2"/>
        </w:numPr>
      </w:pPr>
      <w:r>
        <w:t xml:space="preserve">“Poor whites,” day labor or squatters (no land, no slaves) </w:t>
      </w:r>
    </w:p>
    <w:p w:rsidR="000143C9" w:rsidRDefault="00477346">
      <w:pPr>
        <w:pStyle w:val="ListParagraph"/>
        <w:numPr>
          <w:ilvl w:val="1"/>
          <w:numId w:val="2"/>
        </w:numPr>
        <w:ind w:left="1440"/>
      </w:pPr>
      <w:r>
        <w:t xml:space="preserve">Quantity of white people in the South in 1860 </w:t>
      </w:r>
      <w:r>
        <w:rPr>
          <w:szCs w:val="18"/>
        </w:rPr>
        <w:t xml:space="preserve"> –  5,500,000 (in North  – 22,000,000)</w:t>
      </w:r>
    </w:p>
    <w:p w:rsidR="000143C9" w:rsidRDefault="00477346">
      <w:pPr>
        <w:pStyle w:val="ListParagraph"/>
        <w:numPr>
          <w:ilvl w:val="0"/>
          <w:numId w:val="2"/>
        </w:numPr>
      </w:pPr>
      <w:r>
        <w:t>Classes in the South – Blacks</w:t>
      </w:r>
    </w:p>
    <w:p w:rsidR="000143C9" w:rsidRDefault="00477346">
      <w:pPr>
        <w:pStyle w:val="ListParagraph"/>
        <w:numPr>
          <w:ilvl w:val="1"/>
          <w:numId w:val="2"/>
        </w:numPr>
        <w:ind w:left="1440"/>
      </w:pPr>
      <w:r>
        <w:t>free persons of color – free blacks</w:t>
      </w:r>
    </w:p>
    <w:p w:rsidR="000143C9" w:rsidRDefault="00477346">
      <w:pPr>
        <w:pStyle w:val="ListParagraph"/>
        <w:numPr>
          <w:ilvl w:val="1"/>
          <w:numId w:val="2"/>
        </w:numPr>
        <w:ind w:left="1440"/>
      </w:pPr>
      <w:r>
        <w:t>Drivers of a gang of slaves</w:t>
      </w:r>
    </w:p>
    <w:p w:rsidR="000143C9" w:rsidRDefault="00477346">
      <w:pPr>
        <w:pStyle w:val="ListParagraph"/>
        <w:numPr>
          <w:ilvl w:val="1"/>
          <w:numId w:val="2"/>
        </w:numPr>
        <w:ind w:left="1440"/>
      </w:pPr>
      <w:r>
        <w:t>Slaves – rural and urban slavery</w:t>
      </w:r>
    </w:p>
    <w:p w:rsidR="000143C9" w:rsidRDefault="00477346">
      <w:pPr>
        <w:pStyle w:val="ListParagraph"/>
        <w:numPr>
          <w:ilvl w:val="1"/>
          <w:numId w:val="2"/>
        </w:numPr>
        <w:ind w:left="1440"/>
      </w:pPr>
      <w:r>
        <w:t>Quantity of slaves in 1790-700,000; in 1830-2,000,000; in 1860-4,000,000</w:t>
      </w:r>
    </w:p>
    <w:p w:rsidR="000143C9" w:rsidRDefault="00477346">
      <w:pPr>
        <w:pStyle w:val="Heading2"/>
      </w:pPr>
      <w:bookmarkStart w:id="3" w:name="_Toc449234293"/>
      <w:bookmarkStart w:id="4" w:name="_GoBack"/>
      <w:bookmarkEnd w:id="4"/>
      <w:r>
        <w:t>Maintaining the Power in the South</w:t>
      </w:r>
      <w:bookmarkEnd w:id="3"/>
      <w:r>
        <w:t xml:space="preserve"> – Reminders from Unit 2</w:t>
      </w:r>
    </w:p>
    <w:p w:rsidR="000143C9" w:rsidRDefault="00477346">
      <w:pPr>
        <w:pStyle w:val="ListParagraph"/>
        <w:numPr>
          <w:ilvl w:val="0"/>
          <w:numId w:val="2"/>
        </w:numPr>
      </w:pPr>
      <w:r>
        <w:t>“slave codes” – What are they? What are some examples?</w:t>
      </w:r>
    </w:p>
    <w:p w:rsidR="000143C9" w:rsidRDefault="00477346">
      <w:pPr>
        <w:pStyle w:val="ListParagraph"/>
        <w:numPr>
          <w:ilvl w:val="0"/>
          <w:numId w:val="2"/>
        </w:numPr>
      </w:pPr>
      <w:r>
        <w:t>Slave rebellions (or advocacy of). You do not have to memorize these names but do notice:</w:t>
      </w:r>
    </w:p>
    <w:p w:rsidR="000143C9" w:rsidRDefault="00477346">
      <w:pPr>
        <w:pStyle w:val="ListParagraph"/>
        <w:numPr>
          <w:ilvl w:val="1"/>
          <w:numId w:val="2"/>
        </w:numPr>
      </w:pPr>
      <w:r>
        <w:t xml:space="preserve">That rebellion occurred with people with greater freedoms (as you would expect) </w:t>
      </w:r>
    </w:p>
    <w:p w:rsidR="000143C9" w:rsidRDefault="00477346">
      <w:pPr>
        <w:pStyle w:val="ListParagraph"/>
        <w:numPr>
          <w:ilvl w:val="1"/>
          <w:numId w:val="2"/>
        </w:numPr>
      </w:pPr>
      <w:r>
        <w:t>That rebellion met great violence.</w:t>
      </w:r>
      <w:r>
        <w:br/>
      </w:r>
    </w:p>
    <w:p w:rsidR="000143C9" w:rsidRDefault="00477346">
      <w:pPr>
        <w:pStyle w:val="ListParagraph"/>
        <w:numPr>
          <w:ilvl w:val="1"/>
          <w:numId w:val="2"/>
        </w:numPr>
        <w:ind w:left="1440"/>
      </w:pPr>
      <w:r>
        <w:t>1800 - Gabriel Prosser, blacksmith, VA –- Poor whites did not join as he expected.</w:t>
      </w:r>
      <w:r>
        <w:br/>
        <w:t>Quantity and method: 26, hanging</w:t>
      </w:r>
      <w:r>
        <w:br/>
      </w:r>
    </w:p>
    <w:p w:rsidR="000143C9" w:rsidRDefault="00477346">
      <w:pPr>
        <w:pStyle w:val="ListParagraph"/>
        <w:numPr>
          <w:ilvl w:val="1"/>
          <w:numId w:val="2"/>
        </w:numPr>
        <w:ind w:left="1440"/>
      </w:pPr>
      <w:r>
        <w:t xml:space="preserve">1811 - C. Deslondes, an </w:t>
      </w:r>
      <w:r>
        <w:rPr>
          <w:b/>
        </w:rPr>
        <w:t>overseer</w:t>
      </w:r>
      <w:r>
        <w:t xml:space="preserve"> (a high position for a slave) on a sugarcane plantation, LA Territory </w:t>
      </w:r>
      <w:r>
        <w:br/>
        <w:t>Quantity and method: 100, some tortured, some beheaded (heads placed on poles along roadways).</w:t>
      </w:r>
      <w:r>
        <w:br/>
      </w:r>
    </w:p>
    <w:p w:rsidR="000143C9" w:rsidRDefault="00477346">
      <w:pPr>
        <w:pStyle w:val="ListParagraph"/>
        <w:numPr>
          <w:ilvl w:val="1"/>
          <w:numId w:val="2"/>
        </w:numPr>
        <w:ind w:left="1440"/>
      </w:pPr>
      <w:r>
        <w:t>1822 - D. Vesey,</w:t>
      </w:r>
      <w:r>
        <w:rPr>
          <w:b/>
        </w:rPr>
        <w:t xml:space="preserve"> free</w:t>
      </w:r>
      <w:r>
        <w:t xml:space="preserve"> black, SC – plan for escape of many blacks to Haiti </w:t>
      </w:r>
      <w:r>
        <w:br/>
        <w:t xml:space="preserve">Quantity and method: 35 executed, about 36 sold to Spanish Cuba </w:t>
      </w:r>
      <w:r>
        <w:br/>
      </w:r>
      <w:r>
        <w:br/>
      </w:r>
      <w:r>
        <w:rPr>
          <w:i/>
        </w:rPr>
        <w:t xml:space="preserve">Additional consequences: </w:t>
      </w:r>
      <w:r>
        <w:t>on John C. Calhoun’s nationalism and South Carolina’s “slave code”</w:t>
      </w:r>
      <w:r>
        <w:rPr>
          <w:vertAlign w:val="superscript"/>
        </w:rPr>
        <w:t xml:space="preserve"> </w:t>
      </w:r>
      <w:r>
        <w:rPr>
          <w:vertAlign w:val="superscript"/>
        </w:rPr>
        <w:br/>
      </w:r>
    </w:p>
    <w:p w:rsidR="000143C9" w:rsidRDefault="00477346">
      <w:pPr>
        <w:pStyle w:val="ListParagraph"/>
        <w:numPr>
          <w:ilvl w:val="1"/>
          <w:numId w:val="2"/>
        </w:numPr>
        <w:ind w:left="1440"/>
      </w:pPr>
      <w:r>
        <w:t xml:space="preserve">1829 - David Walker, </w:t>
      </w:r>
      <w:r>
        <w:rPr>
          <w:b/>
        </w:rPr>
        <w:t>free</w:t>
      </w:r>
      <w:r>
        <w:t xml:space="preserve"> black in the North, wrote and published </w:t>
      </w:r>
      <w:r>
        <w:rPr>
          <w:i/>
        </w:rPr>
        <w:t>Walker’s Appeal</w:t>
      </w:r>
      <w:r>
        <w:t xml:space="preserve"> – advocated slaves use the “crushing arm of power” </w:t>
      </w:r>
      <w:r>
        <w:br/>
        <w:t>Method: Assassinated</w:t>
      </w:r>
      <w:r>
        <w:br/>
      </w:r>
    </w:p>
    <w:p w:rsidR="000143C9" w:rsidRDefault="00477346">
      <w:pPr>
        <w:pStyle w:val="ListParagraph"/>
        <w:numPr>
          <w:ilvl w:val="1"/>
          <w:numId w:val="2"/>
        </w:numPr>
        <w:ind w:left="1440"/>
      </w:pPr>
      <w:r>
        <w:t xml:space="preserve">1831- Nat Turner, black overseer (a high position for a slave), preacher, VA  - </w:t>
      </w:r>
      <w:r>
        <w:br/>
        <w:t>Quantity and method: 100s killed and 17 hanged plus beheaded (heads placed on poles along roadways).</w:t>
      </w:r>
      <w:r>
        <w:br/>
        <w:t xml:space="preserve">Change: Whites patrolled their region as part of their nightly duties.  </w:t>
      </w:r>
      <w:bookmarkStart w:id="5" w:name="_Toc449234294"/>
    </w:p>
    <w:p w:rsidR="000143C9" w:rsidRDefault="00477346">
      <w:pPr>
        <w:pStyle w:val="Heading2"/>
      </w:pPr>
      <w:r>
        <w:t>Post-1820s, Shifting to Reform in the North about Ending Slavery</w:t>
      </w:r>
      <w:bookmarkEnd w:id="5"/>
    </w:p>
    <w:p w:rsidR="000143C9" w:rsidRDefault="00477346">
      <w:pPr>
        <w:pStyle w:val="ListParagraph"/>
        <w:numPr>
          <w:ilvl w:val="0"/>
          <w:numId w:val="2"/>
        </w:numPr>
      </w:pPr>
      <w:r>
        <w:t>2 movements</w:t>
      </w:r>
    </w:p>
    <w:p w:rsidR="000143C9" w:rsidRDefault="00477346">
      <w:pPr>
        <w:pStyle w:val="ListParagraph"/>
        <w:numPr>
          <w:ilvl w:val="1"/>
          <w:numId w:val="2"/>
        </w:numPr>
        <w:ind w:left="1440"/>
      </w:pPr>
      <w:r>
        <w:t>Abolition – what it advocates, how it worked, and the major individuals in this movement, including African Americans?</w:t>
      </w:r>
      <w:r>
        <w:br/>
        <w:t>Reminder: the North does not favor the abolitionists. Example: Elijah P. Lovejoy.</w:t>
      </w:r>
    </w:p>
    <w:p w:rsidR="000143C9" w:rsidRDefault="00477346">
      <w:pPr>
        <w:pStyle w:val="ListParagraph"/>
        <w:numPr>
          <w:ilvl w:val="1"/>
          <w:numId w:val="2"/>
        </w:numPr>
        <w:ind w:left="1440"/>
      </w:pPr>
      <w:r>
        <w:t>Free Soil – what it advocates, how it worked, and where it appealed?</w:t>
      </w:r>
    </w:p>
    <w:p w:rsidR="000143C9" w:rsidRDefault="00477346">
      <w:pPr>
        <w:pStyle w:val="ListParagraph"/>
        <w:numPr>
          <w:ilvl w:val="0"/>
          <w:numId w:val="2"/>
        </w:numPr>
      </w:pPr>
      <w:r>
        <w:t>Underground Railroad</w:t>
      </w:r>
      <w:r>
        <w:br/>
        <w:t>Note: only 1000 escaped per year</w:t>
      </w:r>
    </w:p>
    <w:p w:rsidR="000143C9" w:rsidRDefault="00477346">
      <w:pPr>
        <w:pStyle w:val="Heading2"/>
      </w:pPr>
      <w:bookmarkStart w:id="6" w:name="_Toc449234295"/>
      <w:r>
        <w:t>Post-1820s, Shifting to Varied Reforms in the North in Addition to Ending Slavery</w:t>
      </w:r>
      <w:bookmarkEnd w:id="6"/>
    </w:p>
    <w:p w:rsidR="000143C9" w:rsidRDefault="00477346">
      <w:pPr>
        <w:pStyle w:val="ListParagraph"/>
        <w:numPr>
          <w:ilvl w:val="0"/>
          <w:numId w:val="2"/>
        </w:numPr>
      </w:pPr>
      <w:r>
        <w:t xml:space="preserve">Education – Horace Mann and the public school movement </w:t>
      </w:r>
    </w:p>
    <w:p w:rsidR="000143C9" w:rsidRDefault="00477346">
      <w:pPr>
        <w:pStyle w:val="ListParagraph"/>
        <w:numPr>
          <w:ilvl w:val="0"/>
          <w:numId w:val="2"/>
        </w:numPr>
      </w:pPr>
      <w:r>
        <w:t>Literature with American themes:</w:t>
      </w:r>
    </w:p>
    <w:p w:rsidR="000143C9" w:rsidRDefault="00477346">
      <w:pPr>
        <w:pStyle w:val="ListParagraph"/>
        <w:numPr>
          <w:ilvl w:val="1"/>
          <w:numId w:val="2"/>
        </w:numPr>
        <w:ind w:left="1440"/>
      </w:pPr>
      <w:r>
        <w:t>Emily Dickinson</w:t>
      </w:r>
    </w:p>
    <w:p w:rsidR="000143C9" w:rsidRDefault="00477346">
      <w:pPr>
        <w:pStyle w:val="ListParagraph"/>
        <w:numPr>
          <w:ilvl w:val="1"/>
          <w:numId w:val="2"/>
        </w:numPr>
        <w:ind w:left="1440"/>
      </w:pPr>
      <w:r>
        <w:t>Walt Whitman</w:t>
      </w:r>
    </w:p>
    <w:p w:rsidR="000143C9" w:rsidRDefault="00477346">
      <w:pPr>
        <w:pStyle w:val="ListParagraph"/>
        <w:numPr>
          <w:ilvl w:val="0"/>
          <w:numId w:val="2"/>
        </w:numPr>
      </w:pPr>
      <w:r>
        <w:t xml:space="preserve">Religion: </w:t>
      </w:r>
    </w:p>
    <w:p w:rsidR="000143C9" w:rsidRDefault="00477346">
      <w:pPr>
        <w:pStyle w:val="ListParagraph"/>
        <w:numPr>
          <w:ilvl w:val="1"/>
          <w:numId w:val="2"/>
        </w:numPr>
        <w:ind w:left="1440"/>
      </w:pPr>
      <w:r>
        <w:t>Unitarianism and Universalism</w:t>
      </w:r>
    </w:p>
    <w:p w:rsidR="000143C9" w:rsidRDefault="00477346">
      <w:pPr>
        <w:pStyle w:val="ListParagraph"/>
        <w:numPr>
          <w:ilvl w:val="1"/>
          <w:numId w:val="2"/>
        </w:numPr>
        <w:ind w:left="1440"/>
      </w:pPr>
      <w:r>
        <w:t xml:space="preserve">Second Great Awakening –a  </w:t>
      </w:r>
      <w:r>
        <w:rPr>
          <w:i/>
        </w:rPr>
        <w:t>democratic</w:t>
      </w:r>
      <w:r>
        <w:t xml:space="preserve"> salvation compared to the Puritans</w:t>
      </w:r>
    </w:p>
    <w:p w:rsidR="000143C9" w:rsidRDefault="00477346">
      <w:pPr>
        <w:pStyle w:val="ListParagraph"/>
        <w:numPr>
          <w:ilvl w:val="1"/>
          <w:numId w:val="2"/>
        </w:numPr>
        <w:ind w:left="1440"/>
      </w:pPr>
      <w:r>
        <w:t>Revivalism and camp meetings</w:t>
      </w:r>
    </w:p>
    <w:p w:rsidR="000143C9" w:rsidRDefault="00477346">
      <w:pPr>
        <w:pStyle w:val="ListParagraph"/>
        <w:numPr>
          <w:ilvl w:val="1"/>
          <w:numId w:val="2"/>
        </w:numPr>
        <w:ind w:left="1440"/>
      </w:pPr>
      <w:r>
        <w:t>Mormons</w:t>
      </w:r>
    </w:p>
    <w:p w:rsidR="000143C9" w:rsidRDefault="00477346">
      <w:pPr>
        <w:pStyle w:val="ListParagraph"/>
        <w:numPr>
          <w:ilvl w:val="0"/>
          <w:numId w:val="2"/>
        </w:numPr>
      </w:pPr>
      <w:r>
        <w:t>Prison reform and treatment of the insane – Dorothea Dix</w:t>
      </w:r>
    </w:p>
    <w:p w:rsidR="000143C9" w:rsidRDefault="00477346">
      <w:pPr>
        <w:pStyle w:val="ListParagraph"/>
        <w:numPr>
          <w:ilvl w:val="1"/>
          <w:numId w:val="2"/>
        </w:numPr>
        <w:ind w:left="1440"/>
      </w:pPr>
      <w:r>
        <w:t>Temperance</w:t>
      </w:r>
    </w:p>
    <w:p w:rsidR="000143C9" w:rsidRDefault="00477346">
      <w:pPr>
        <w:pStyle w:val="ListParagraph"/>
        <w:numPr>
          <w:ilvl w:val="0"/>
          <w:numId w:val="2"/>
        </w:numPr>
      </w:pPr>
      <w:r>
        <w:t>Transcendentalism (romanticism)</w:t>
      </w:r>
    </w:p>
    <w:p w:rsidR="000143C9" w:rsidRDefault="00477346">
      <w:pPr>
        <w:pStyle w:val="ListParagraph"/>
        <w:numPr>
          <w:ilvl w:val="1"/>
          <w:numId w:val="2"/>
        </w:numPr>
        <w:ind w:left="1440"/>
      </w:pPr>
      <w:r>
        <w:t>Ralph Waldo Emerson – “self-reliance”</w:t>
      </w:r>
    </w:p>
    <w:p w:rsidR="000143C9" w:rsidRDefault="00477346">
      <w:pPr>
        <w:pStyle w:val="ListParagraph"/>
        <w:numPr>
          <w:ilvl w:val="1"/>
          <w:numId w:val="2"/>
        </w:numPr>
        <w:ind w:left="1440"/>
      </w:pPr>
      <w:r>
        <w:t xml:space="preserve">Henry David Thoreau - </w:t>
      </w:r>
      <w:r>
        <w:rPr>
          <w:i/>
        </w:rPr>
        <w:t xml:space="preserve">Civil Disobedience </w:t>
      </w:r>
      <w:r>
        <w:t xml:space="preserve">(1849), </w:t>
      </w:r>
      <w:r>
        <w:rPr>
          <w:i/>
        </w:rPr>
        <w:t>Walden Pond</w:t>
      </w:r>
      <w:r>
        <w:t xml:space="preserve"> (1854)</w:t>
      </w:r>
    </w:p>
    <w:p w:rsidR="000143C9" w:rsidRDefault="00477346">
      <w:pPr>
        <w:pStyle w:val="ListParagraph"/>
        <w:numPr>
          <w:ilvl w:val="0"/>
          <w:numId w:val="2"/>
        </w:numPr>
      </w:pPr>
      <w:r>
        <w:t>Utopian communes –one religious example are the Shakers</w:t>
      </w:r>
    </w:p>
    <w:p w:rsidR="000143C9" w:rsidRDefault="00477346">
      <w:pPr>
        <w:pStyle w:val="ListParagraph"/>
        <w:numPr>
          <w:ilvl w:val="0"/>
          <w:numId w:val="2"/>
        </w:numPr>
      </w:pPr>
      <w:r>
        <w:t>Women’s rights and women’s suffrage</w:t>
      </w:r>
    </w:p>
    <w:p w:rsidR="000143C9" w:rsidRDefault="00477346">
      <w:pPr>
        <w:pStyle w:val="ListParagraph"/>
        <w:numPr>
          <w:ilvl w:val="1"/>
          <w:numId w:val="2"/>
        </w:numPr>
        <w:ind w:left="1440"/>
      </w:pPr>
      <w:r>
        <w:t>Reminder on lack of rights: not on juries, not vote, not professions (other than teaching or nursing), not own property or their children, not sue.</w:t>
      </w:r>
    </w:p>
    <w:p w:rsidR="000143C9" w:rsidRDefault="00477346">
      <w:pPr>
        <w:pStyle w:val="ListParagraph"/>
        <w:numPr>
          <w:ilvl w:val="1"/>
          <w:numId w:val="2"/>
        </w:numPr>
        <w:ind w:left="1440"/>
      </w:pPr>
      <w:r>
        <w:t>1848 - Seneca Falls Convention – rewrites the Declaration of Independence</w:t>
      </w:r>
    </w:p>
    <w:p w:rsidR="000143C9" w:rsidRDefault="00477346">
      <w:pPr>
        <w:pStyle w:val="ListParagraph"/>
        <w:numPr>
          <w:ilvl w:val="1"/>
          <w:numId w:val="2"/>
        </w:numPr>
        <w:ind w:left="1440"/>
      </w:pPr>
      <w:r>
        <w:t>Susan B. Anthony – like others in the women’s rights movement, started in anti-slavery and temperance movements</w:t>
      </w:r>
    </w:p>
    <w:p w:rsidR="000143C9" w:rsidRDefault="00477346">
      <w:pPr>
        <w:pStyle w:val="ListParagraph"/>
        <w:numPr>
          <w:ilvl w:val="1"/>
          <w:numId w:val="2"/>
        </w:numPr>
        <w:ind w:left="1440"/>
      </w:pPr>
      <w:r>
        <w:t xml:space="preserve">Sojourner Truth – slave freed in New York in 1827 by law –  representative of both abolition and women’s rights – famous for the speech "Ar'n't I a Woman?" Delivered 1851, Women's Convention, Akron, Ohio  </w:t>
      </w:r>
    </w:p>
    <w:p w:rsidR="000143C9" w:rsidRDefault="000143C9">
      <w:pPr>
        <w:spacing w:after="0" w:line="240" w:lineRule="auto"/>
        <w:ind w:left="720"/>
        <w:contextualSpacing/>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0143C9">
        <w:tc>
          <w:tcPr>
            <w:tcW w:w="8694" w:type="dxa"/>
            <w:hideMark/>
          </w:tcPr>
          <w:p w:rsidR="000143C9" w:rsidRDefault="00477346" w:rsidP="006132F6">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w:t>
            </w:r>
            <w:r w:rsidR="006132F6">
              <w:rPr>
                <w:rFonts w:ascii="Arial" w:eastAsia="Times New Roman" w:hAnsi="Arial" w:cs="Times New Roman"/>
                <w:sz w:val="16"/>
                <w:szCs w:val="24"/>
              </w:rPr>
              <w:t>20</w:t>
            </w:r>
          </w:p>
        </w:tc>
      </w:tr>
    </w:tbl>
    <w:p w:rsidR="000143C9" w:rsidRDefault="000143C9">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0143C9" w:rsidTr="006132F6">
        <w:trPr>
          <w:tblHeader/>
        </w:trPr>
        <w:tc>
          <w:tcPr>
            <w:tcW w:w="2322" w:type="dxa"/>
            <w:hideMark/>
          </w:tcPr>
          <w:p w:rsidR="000143C9" w:rsidRDefault="0047734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0143C9" w:rsidRDefault="00477346">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0143C9">
        <w:tc>
          <w:tcPr>
            <w:tcW w:w="2322" w:type="dxa"/>
            <w:hideMark/>
          </w:tcPr>
          <w:p w:rsidR="000143C9" w:rsidRDefault="0047734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0143C9" w:rsidRDefault="00477346">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8"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0143C9">
        <w:tc>
          <w:tcPr>
            <w:tcW w:w="2322" w:type="dxa"/>
            <w:hideMark/>
          </w:tcPr>
          <w:p w:rsidR="000143C9" w:rsidRDefault="0047734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0143C9" w:rsidRDefault="00477346" w:rsidP="006132F6">
            <w:pPr>
              <w:spacing w:after="0" w:line="240" w:lineRule="auto"/>
              <w:rPr>
                <w:rFonts w:ascii="Arial" w:eastAsia="Times New Roman" w:hAnsi="Arial" w:cs="Times New Roman"/>
                <w:sz w:val="18"/>
                <w:szCs w:val="24"/>
              </w:rPr>
            </w:pPr>
            <w:r>
              <w:rPr>
                <w:rFonts w:ascii="Arial" w:eastAsia="Times New Roman" w:hAnsi="Arial" w:cs="Times New Roman"/>
                <w:sz w:val="18"/>
                <w:szCs w:val="24"/>
              </w:rPr>
              <w:t>20</w:t>
            </w:r>
            <w:r w:rsidR="006132F6">
              <w:rPr>
                <w:rFonts w:ascii="Arial" w:eastAsia="Times New Roman" w:hAnsi="Arial" w:cs="Times New Roman"/>
                <w:sz w:val="18"/>
                <w:szCs w:val="24"/>
              </w:rPr>
              <w:t>20</w:t>
            </w:r>
          </w:p>
        </w:tc>
      </w:tr>
      <w:tr w:rsidR="000143C9">
        <w:tc>
          <w:tcPr>
            <w:tcW w:w="2322" w:type="dxa"/>
            <w:hideMark/>
          </w:tcPr>
          <w:p w:rsidR="000143C9" w:rsidRDefault="0047734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0143C9" w:rsidRDefault="00A70B8B">
            <w:pPr>
              <w:spacing w:after="0" w:line="240" w:lineRule="auto"/>
              <w:rPr>
                <w:rFonts w:ascii="Arial" w:eastAsia="Times New Roman" w:hAnsi="Arial" w:cs="Times New Roman"/>
                <w:sz w:val="18"/>
                <w:szCs w:val="24"/>
              </w:rPr>
            </w:pPr>
            <w:hyperlink r:id="rId9" w:history="1">
              <w:r w:rsidR="00477346">
                <w:rPr>
                  <w:rStyle w:val="Hyperlink"/>
                  <w:rFonts w:ascii="Arial" w:eastAsia="Times New Roman" w:hAnsi="Arial" w:cs="Times New Roman"/>
                  <w:sz w:val="18"/>
                  <w:szCs w:val="24"/>
                </w:rPr>
                <w:t>http://www.wcjc.edu/</w:t>
              </w:r>
            </w:hyperlink>
          </w:p>
        </w:tc>
      </w:tr>
    </w:tbl>
    <w:p w:rsidR="00477346" w:rsidRDefault="00477346"/>
    <w:sectPr w:rsidR="00477346">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8B" w:rsidRDefault="00A70B8B">
      <w:pPr>
        <w:spacing w:after="0" w:line="240" w:lineRule="auto"/>
      </w:pPr>
      <w:r>
        <w:separator/>
      </w:r>
    </w:p>
  </w:endnote>
  <w:endnote w:type="continuationSeparator" w:id="0">
    <w:p w:rsidR="00A70B8B" w:rsidRDefault="00A7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8B" w:rsidRDefault="00A70B8B">
      <w:pPr>
        <w:spacing w:after="0" w:line="240" w:lineRule="auto"/>
      </w:pPr>
      <w:r>
        <w:separator/>
      </w:r>
    </w:p>
  </w:footnote>
  <w:footnote w:type="continuationSeparator" w:id="0">
    <w:p w:rsidR="00A70B8B" w:rsidRDefault="00A70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60DAC"/>
    <w:multiLevelType w:val="hybridMultilevel"/>
    <w:tmpl w:val="88E63E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DC41A7A"/>
    <w:multiLevelType w:val="hybridMultilevel"/>
    <w:tmpl w:val="CC240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F6"/>
    <w:rsid w:val="000143C9"/>
    <w:rsid w:val="00477346"/>
    <w:rsid w:val="006132F6"/>
    <w:rsid w:val="009E6B85"/>
    <w:rsid w:val="00A70B8B"/>
    <w:rsid w:val="00DF31A2"/>
    <w:rsid w:val="00F8382A"/>
    <w:rsid w:val="00F9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579DF3-2B63-45DE-A5DA-FAB4836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TOC2">
    <w:name w:val="toc 2"/>
    <w:basedOn w:val="Normal"/>
    <w:next w:val="Normal"/>
    <w:autoRedefine/>
    <w:uiPriority w:val="39"/>
    <w:semiHidden/>
    <w:unhideWhenUsed/>
    <w:pPr>
      <w:spacing w:after="100"/>
      <w:ind w:left="22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EndnoteText">
    <w:name w:val="endnote text"/>
    <w:basedOn w:val="Normal"/>
    <w:link w:val="EndnoteTextChar"/>
    <w:semiHidden/>
    <w:unhideWhenUse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locked/>
    <w:rPr>
      <w:rFonts w:ascii="Arial" w:eastAsia="Times New Roman" w:hAnsi="Arial" w:cs="Times New Roman" w:hint="default"/>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9D5D-093E-426E-BA36-123295EF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Comparing the North (old NE and new NW) and South (old Southeast and new Southwe</vt:lpstr>
      <vt:lpstr>    Pre-1820s and the North and South’s Shared Vision of the End of Slavery</vt:lpstr>
      <vt:lpstr>    Maintaining the Power in the South – Reminders from Unit 2</vt:lpstr>
      <vt:lpstr>    Post-1820s, Shifting to Reform in the North about Ending Slavery</vt:lpstr>
      <vt:lpstr>    Post-1820s, Shifting to Varied Reforms in the North in Addition to Ending Slaver</vt:lpstr>
    </vt:vector>
  </TitlesOfParts>
  <Company>Wharton County Junior College</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2</cp:revision>
  <cp:lastPrinted>2020-10-06T16:48:00Z</cp:lastPrinted>
  <dcterms:created xsi:type="dcterms:W3CDTF">2020-10-06T16:52:00Z</dcterms:created>
  <dcterms:modified xsi:type="dcterms:W3CDTF">2020-10-06T16:52:00Z</dcterms:modified>
</cp:coreProperties>
</file>