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5"/>
      </w:tblGrid>
      <w:tr w:rsidR="001E055F" w:rsidTr="008A4B17">
        <w:tc>
          <w:tcPr>
            <w:tcW w:w="14485" w:type="dxa"/>
            <w:tcBorders>
              <w:top w:val="single" w:sz="4" w:space="0" w:color="auto"/>
              <w:left w:val="single" w:sz="4" w:space="0" w:color="auto"/>
              <w:bottom w:val="single" w:sz="4" w:space="0" w:color="auto"/>
              <w:right w:val="single" w:sz="4" w:space="0" w:color="auto"/>
            </w:tcBorders>
            <w:hideMark/>
          </w:tcPr>
          <w:p w:rsidR="001E055F" w:rsidRDefault="006D6E67">
            <w:pPr>
              <w:rPr>
                <w:rFonts w:cs="Arial"/>
              </w:rPr>
            </w:pPr>
            <w:r>
              <w:rPr>
                <w:rFonts w:cs="Arial"/>
                <w:b/>
              </w:rPr>
              <w:t>Lesson 4 – Use its 2 Learning Quizzes 1</w:t>
            </w:r>
            <w:r>
              <w:rPr>
                <w:rFonts w:cs="Arial"/>
                <w:b/>
                <w:vertAlign w:val="superscript"/>
              </w:rPr>
              <w:t>st</w:t>
            </w:r>
            <w:r>
              <w:rPr>
                <w:rFonts w:cs="Arial"/>
                <w:b/>
              </w:rPr>
              <w:t>.</w:t>
            </w:r>
          </w:p>
          <w:p w:rsidR="001E055F" w:rsidRDefault="006D6E67">
            <w:pPr>
              <w:pStyle w:val="ListParagraph"/>
              <w:numPr>
                <w:ilvl w:val="0"/>
                <w:numId w:val="2"/>
              </w:numPr>
              <w:rPr>
                <w:rFonts w:cs="Arial"/>
              </w:rPr>
            </w:pPr>
            <w:r>
              <w:rPr>
                <w:rFonts w:cs="Arial"/>
              </w:rPr>
              <w:t xml:space="preserve">Major trends in English government and economy: </w:t>
            </w:r>
          </w:p>
          <w:p w:rsidR="001E055F" w:rsidRDefault="006D6E67">
            <w:pPr>
              <w:pStyle w:val="ListParagraph"/>
              <w:numPr>
                <w:ilvl w:val="0"/>
                <w:numId w:val="3"/>
              </w:numPr>
              <w:rPr>
                <w:rFonts w:cs="Arial"/>
              </w:rPr>
            </w:pPr>
            <w:r>
              <w:rPr>
                <w:rFonts w:cs="Arial"/>
              </w:rPr>
              <w:t>Mercantilism by England (and Spain and others) and taxes to regulate</w:t>
            </w:r>
            <w:r w:rsidRPr="008A4B17">
              <w:rPr>
                <w:rFonts w:cs="Arial"/>
                <w:b/>
              </w:rPr>
              <w:t xml:space="preserve"> trade</w:t>
            </w:r>
            <w:r w:rsidR="008A4B17">
              <w:rPr>
                <w:rFonts w:cs="Arial"/>
              </w:rPr>
              <w:t xml:space="preserve">   - </w:t>
            </w:r>
            <w:r w:rsidR="008A4B17" w:rsidRPr="00177089">
              <w:rPr>
                <w:rStyle w:val="Strong"/>
                <w:shd w:val="clear" w:color="auto" w:fill="FFFF00"/>
              </w:rPr>
              <w:t>The change:</w:t>
            </w:r>
            <w:r w:rsidR="008A4B17" w:rsidRPr="00177089">
              <w:rPr>
                <w:rFonts w:cs="Arial"/>
                <w:shd w:val="clear" w:color="auto" w:fill="FFFF00"/>
              </w:rPr>
              <w:t xml:space="preserve"> to taxes for revenue</w:t>
            </w:r>
            <w:r w:rsidR="00D607B6" w:rsidRPr="00177089">
              <w:rPr>
                <w:rFonts w:cs="Arial"/>
                <w:shd w:val="clear" w:color="auto" w:fill="FFFF00"/>
              </w:rPr>
              <w:t xml:space="preserve"> </w:t>
            </w:r>
            <w:r w:rsidR="00D607B6" w:rsidRPr="00177089">
              <w:rPr>
                <w:rFonts w:cs="Arial"/>
                <w:b/>
                <w:shd w:val="clear" w:color="auto" w:fill="FFFF00"/>
              </w:rPr>
              <w:t>Caution:</w:t>
            </w:r>
            <w:r w:rsidR="00D607B6" w:rsidRPr="00177089">
              <w:rPr>
                <w:rFonts w:cs="Arial"/>
                <w:shd w:val="clear" w:color="auto" w:fill="FFFF00"/>
              </w:rPr>
              <w:t xml:space="preserve"> what’s a boycott?</w:t>
            </w:r>
            <w:r w:rsidR="00E3789D" w:rsidRPr="00177089">
              <w:rPr>
                <w:rFonts w:cs="Arial"/>
                <w:shd w:val="clear" w:color="auto" w:fill="FFFF00"/>
              </w:rPr>
              <w:t xml:space="preserve"> Is it legal?</w:t>
            </w:r>
          </w:p>
          <w:p w:rsidR="001E055F" w:rsidRDefault="006D6E67">
            <w:pPr>
              <w:pStyle w:val="ListParagraph"/>
              <w:numPr>
                <w:ilvl w:val="0"/>
                <w:numId w:val="3"/>
              </w:numPr>
              <w:rPr>
                <w:rFonts w:cs="Arial"/>
              </w:rPr>
            </w:pPr>
            <w:r>
              <w:rPr>
                <w:rFonts w:cs="Arial"/>
              </w:rPr>
              <w:t>Parliament and prime minister (and the Cabinet)</w:t>
            </w:r>
            <w:r w:rsidR="008A4B17">
              <w:rPr>
                <w:rFonts w:cs="Arial"/>
              </w:rPr>
              <w:t xml:space="preserve">                                             </w:t>
            </w:r>
            <w:r w:rsidR="008A4B17" w:rsidRPr="00177089">
              <w:rPr>
                <w:rStyle w:val="Strong"/>
                <w:shd w:val="clear" w:color="auto" w:fill="FFFF00"/>
              </w:rPr>
              <w:t>The change:</w:t>
            </w:r>
            <w:r w:rsidR="008A4B17" w:rsidRPr="00177089">
              <w:rPr>
                <w:rFonts w:cs="Arial"/>
                <w:shd w:val="clear" w:color="auto" w:fill="FFFF00"/>
              </w:rPr>
              <w:t xml:space="preserve"> to the executive being the head of a political party, not the king.</w:t>
            </w:r>
          </w:p>
          <w:p w:rsidR="001E055F" w:rsidRDefault="006D6E67">
            <w:pPr>
              <w:pStyle w:val="ListParagraph"/>
              <w:numPr>
                <w:ilvl w:val="0"/>
                <w:numId w:val="3"/>
              </w:numPr>
              <w:rPr>
                <w:rFonts w:cs="Arial"/>
              </w:rPr>
            </w:pPr>
            <w:r>
              <w:rPr>
                <w:rFonts w:cs="Arial"/>
              </w:rPr>
              <w:t>French and Indian War, consequences on colonists and consequences of crushing English debt and its need of more taxes to pay bills</w:t>
            </w:r>
            <w:r w:rsidR="002134CA">
              <w:rPr>
                <w:rFonts w:cs="Arial"/>
              </w:rPr>
              <w:t xml:space="preserve"> </w:t>
            </w:r>
            <w:r w:rsidR="002134CA" w:rsidRPr="00177089">
              <w:rPr>
                <w:rFonts w:cs="Arial"/>
                <w:shd w:val="clear" w:color="auto" w:fill="FFFF00"/>
              </w:rPr>
              <w:t>The change: debt</w:t>
            </w:r>
          </w:p>
          <w:p w:rsidR="001E055F" w:rsidRDefault="006D6E67">
            <w:pPr>
              <w:pStyle w:val="ListParagraph"/>
              <w:numPr>
                <w:ilvl w:val="0"/>
                <w:numId w:val="2"/>
              </w:numPr>
              <w:rPr>
                <w:rFonts w:cs="Arial"/>
              </w:rPr>
            </w:pPr>
            <w:r>
              <w:rPr>
                <w:rFonts w:cs="Arial"/>
              </w:rPr>
              <w:t xml:space="preserve">Proclamation of 1763 as barrier to what areas that colonists wanted and why </w:t>
            </w:r>
            <w:r w:rsidR="002134CA">
              <w:rPr>
                <w:rFonts w:cs="Arial"/>
                <w:b/>
              </w:rPr>
              <w:t xml:space="preserve">(Use the map.) </w:t>
            </w:r>
            <w:r w:rsidR="002134CA" w:rsidRPr="00177089">
              <w:rPr>
                <w:rFonts w:cs="Arial"/>
                <w:shd w:val="clear" w:color="auto" w:fill="FFFF00"/>
              </w:rPr>
              <w:t>Look ahead to the Peace and British motives</w:t>
            </w:r>
            <w:r w:rsidR="002134CA" w:rsidRPr="002134CA">
              <w:rPr>
                <w:rFonts w:cs="Arial"/>
                <w:shd w:val="clear" w:color="auto" w:fill="BDD6EE" w:themeFill="accent1" w:themeFillTint="66"/>
              </w:rPr>
              <w:t>.</w:t>
            </w:r>
          </w:p>
          <w:p w:rsidR="001E055F" w:rsidRDefault="006D6E67">
            <w:pPr>
              <w:pStyle w:val="ListParagraph"/>
              <w:numPr>
                <w:ilvl w:val="0"/>
                <w:numId w:val="2"/>
              </w:numPr>
              <w:rPr>
                <w:rFonts w:cs="Arial"/>
              </w:rPr>
            </w:pPr>
            <w:r>
              <w:rPr>
                <w:rFonts w:cs="Arial"/>
              </w:rPr>
              <w:t>1763 and beyond – King George III tries to reestablish the power of the king</w:t>
            </w:r>
            <w:r w:rsidR="008A4B17">
              <w:rPr>
                <w:rFonts w:cs="Arial"/>
              </w:rPr>
              <w:t xml:space="preserve">  </w:t>
            </w:r>
            <w:r w:rsidR="008A4B17" w:rsidRPr="00177089">
              <w:rPr>
                <w:rStyle w:val="Strong"/>
                <w:shd w:val="clear" w:color="auto" w:fill="FFFF00"/>
              </w:rPr>
              <w:t>The change:</w:t>
            </w:r>
            <w:r w:rsidR="008A4B17" w:rsidRPr="00177089">
              <w:rPr>
                <w:rFonts w:cs="Arial"/>
                <w:shd w:val="clear" w:color="auto" w:fill="FFFF00"/>
              </w:rPr>
              <w:t xml:space="preserve"> to the king trying to be king – it fails</w:t>
            </w:r>
          </w:p>
          <w:p w:rsidR="001E055F" w:rsidRDefault="006D6E67">
            <w:pPr>
              <w:pStyle w:val="ListParagraph"/>
              <w:numPr>
                <w:ilvl w:val="0"/>
                <w:numId w:val="2"/>
              </w:numPr>
              <w:rPr>
                <w:rFonts w:cs="Arial"/>
              </w:rPr>
            </w:pPr>
            <w:r>
              <w:rPr>
                <w:rFonts w:cs="Arial"/>
              </w:rPr>
              <w:t>Major events, people, and documents in the American Revolution</w:t>
            </w:r>
          </w:p>
          <w:p w:rsidR="001E055F" w:rsidRDefault="006D6E67">
            <w:pPr>
              <w:pStyle w:val="ListParagraph"/>
              <w:numPr>
                <w:ilvl w:val="0"/>
                <w:numId w:val="4"/>
              </w:numPr>
              <w:rPr>
                <w:rFonts w:cs="Arial"/>
              </w:rPr>
            </w:pPr>
            <w:r>
              <w:rPr>
                <w:rFonts w:cs="Arial"/>
              </w:rPr>
              <w:t>Stamp Act and how it worked</w:t>
            </w:r>
            <w:r w:rsidR="002F3B1A">
              <w:rPr>
                <w:rFonts w:cs="Arial"/>
              </w:rPr>
              <w:t xml:space="preserve">     </w:t>
            </w:r>
            <w:r w:rsidR="008A4B17">
              <w:rPr>
                <w:rFonts w:cs="Arial"/>
              </w:rPr>
              <w:t xml:space="preserve">     </w:t>
            </w:r>
            <w:r w:rsidR="002134CA">
              <w:rPr>
                <w:rFonts w:cs="Arial"/>
              </w:rPr>
              <w:t xml:space="preserve">                        </w:t>
            </w:r>
            <w:r w:rsidR="00D607B6">
              <w:rPr>
                <w:rFonts w:cs="Arial"/>
              </w:rPr>
              <w:t xml:space="preserve">  </w:t>
            </w:r>
            <w:r w:rsidR="00177089">
              <w:rPr>
                <w:rStyle w:val="FootnoteReference"/>
                <w:rFonts w:cs="Arial"/>
              </w:rPr>
              <w:footnoteReference w:id="1"/>
            </w:r>
            <w:r w:rsidR="002134CA" w:rsidRPr="002134CA">
              <w:rPr>
                <w:rFonts w:cs="Arial"/>
                <w:b/>
                <w:shd w:val="clear" w:color="auto" w:fill="BDD6EE" w:themeFill="accent1" w:themeFillTint="66"/>
              </w:rPr>
              <w:t>Video:</w:t>
            </w:r>
            <w:r w:rsidR="002F3B1A" w:rsidRPr="002134CA">
              <w:rPr>
                <w:rFonts w:cs="Arial"/>
                <w:shd w:val="clear" w:color="auto" w:fill="BDD6EE" w:themeFill="accent1" w:themeFillTint="66"/>
              </w:rPr>
              <w:t xml:space="preserve"> </w:t>
            </w:r>
            <w:r w:rsidR="008A4B17" w:rsidRPr="002134CA">
              <w:rPr>
                <w:rFonts w:cs="Arial"/>
                <w:shd w:val="clear" w:color="auto" w:fill="BDD6EE" w:themeFill="accent1" w:themeFillTint="66"/>
              </w:rPr>
              <w:t xml:space="preserve"> Making a Revolution</w:t>
            </w:r>
            <w:r w:rsidR="002F3B1A" w:rsidRPr="002134CA">
              <w:rPr>
                <w:rFonts w:cs="Arial"/>
                <w:shd w:val="clear" w:color="auto" w:fill="BDD6EE" w:themeFill="accent1" w:themeFillTint="66"/>
              </w:rPr>
              <w:t xml:space="preserve"> </w:t>
            </w:r>
            <w:r w:rsidR="002134CA" w:rsidRPr="002134CA">
              <w:rPr>
                <w:rFonts w:cs="Arial"/>
                <w:b/>
                <w:shd w:val="clear" w:color="auto" w:fill="BDD6EE" w:themeFill="accent1" w:themeFillTint="66"/>
              </w:rPr>
              <w:t>Search Word:</w:t>
            </w:r>
            <w:r w:rsidR="002F3B1A" w:rsidRPr="002134CA">
              <w:rPr>
                <w:rFonts w:cs="Arial"/>
                <w:shd w:val="clear" w:color="auto" w:fill="BDD6EE" w:themeFill="accent1" w:themeFillTint="66"/>
              </w:rPr>
              <w:t xml:space="preserve">  Stamp  </w:t>
            </w:r>
            <w:r w:rsidR="008A4B17" w:rsidRPr="002134CA">
              <w:rPr>
                <w:rFonts w:cs="Arial"/>
                <w:shd w:val="clear" w:color="auto" w:fill="BDD6EE" w:themeFill="accent1" w:themeFillTint="66"/>
              </w:rPr>
              <w:t>plus a “bit”</w:t>
            </w:r>
            <w:r w:rsidR="00D607B6" w:rsidRPr="002134CA">
              <w:rPr>
                <w:rFonts w:cs="Arial"/>
                <w:shd w:val="clear" w:color="auto" w:fill="BDD6EE" w:themeFill="accent1" w:themeFillTint="66"/>
              </w:rPr>
              <w:t xml:space="preserve"> after that</w:t>
            </w:r>
            <w:r w:rsidR="002F3B1A" w:rsidRPr="002134CA">
              <w:rPr>
                <w:rFonts w:cs="Arial"/>
                <w:shd w:val="clear" w:color="auto" w:fill="BDD6EE" w:themeFill="accent1" w:themeFillTint="66"/>
              </w:rPr>
              <w:t xml:space="preserve"> </w:t>
            </w:r>
            <w:r w:rsidR="002F3B1A" w:rsidRPr="002134CA">
              <w:rPr>
                <w:rFonts w:cs="Arial"/>
                <w:b/>
                <w:shd w:val="clear" w:color="auto" w:fill="BDD6EE" w:themeFill="accent1" w:themeFillTint="66"/>
              </w:rPr>
              <w:t>Caution:</w:t>
            </w:r>
            <w:r w:rsidR="002F3B1A" w:rsidRPr="002134CA">
              <w:rPr>
                <w:rFonts w:cs="Arial"/>
                <w:shd w:val="clear" w:color="auto" w:fill="BDD6EE" w:themeFill="accent1" w:themeFillTint="66"/>
              </w:rPr>
              <w:t xml:space="preserve"> </w:t>
            </w:r>
            <w:r w:rsidR="00D607B6" w:rsidRPr="002134CA">
              <w:rPr>
                <w:rFonts w:cs="Arial"/>
                <w:shd w:val="clear" w:color="auto" w:fill="BDD6EE" w:themeFill="accent1" w:themeFillTint="66"/>
              </w:rPr>
              <w:t>what’s a</w:t>
            </w:r>
            <w:r w:rsidR="002F3B1A" w:rsidRPr="002134CA">
              <w:rPr>
                <w:rFonts w:cs="Arial"/>
                <w:shd w:val="clear" w:color="auto" w:fill="BDD6EE" w:themeFill="accent1" w:themeFillTint="66"/>
              </w:rPr>
              <w:t xml:space="preserve"> </w:t>
            </w:r>
            <w:r w:rsidR="002F3B1A" w:rsidRPr="002134CA">
              <w:rPr>
                <w:rFonts w:cs="Arial"/>
                <w:i/>
                <w:shd w:val="clear" w:color="auto" w:fill="BDD6EE" w:themeFill="accent1" w:themeFillTint="66"/>
              </w:rPr>
              <w:t>massacre</w:t>
            </w:r>
            <w:r w:rsidR="002F3B1A" w:rsidRPr="002134CA">
              <w:rPr>
                <w:rFonts w:cs="Arial"/>
                <w:shd w:val="clear" w:color="auto" w:fill="BDD6EE" w:themeFill="accent1" w:themeFillTint="66"/>
              </w:rPr>
              <w:t>?</w:t>
            </w:r>
            <w:r w:rsidR="002F3B1A">
              <w:rPr>
                <w:rFonts w:cs="Arial"/>
              </w:rPr>
              <w:t xml:space="preserve"> </w:t>
            </w:r>
          </w:p>
          <w:p w:rsidR="001E055F" w:rsidRDefault="006D6E67">
            <w:pPr>
              <w:pStyle w:val="ListParagraph"/>
              <w:numPr>
                <w:ilvl w:val="0"/>
                <w:numId w:val="4"/>
              </w:numPr>
              <w:rPr>
                <w:rFonts w:cs="Arial"/>
              </w:rPr>
            </w:pPr>
            <w:r>
              <w:rPr>
                <w:rFonts w:cs="Arial"/>
              </w:rPr>
              <w:t xml:space="preserve">Stamp Act Declaration and its key principle </w:t>
            </w:r>
            <w:r>
              <w:rPr>
                <w:rFonts w:cs="Arial"/>
                <w:b/>
              </w:rPr>
              <w:t>(Use the primary.)</w:t>
            </w:r>
          </w:p>
          <w:p w:rsidR="001E055F" w:rsidRDefault="006D6E67" w:rsidP="002134CA">
            <w:pPr>
              <w:pStyle w:val="ListParagraph"/>
              <w:numPr>
                <w:ilvl w:val="0"/>
                <w:numId w:val="4"/>
              </w:numPr>
              <w:shd w:val="clear" w:color="auto" w:fill="FFFFFF" w:themeFill="background1"/>
              <w:rPr>
                <w:rFonts w:cs="Arial"/>
              </w:rPr>
            </w:pPr>
            <w:r w:rsidRPr="002134CA">
              <w:rPr>
                <w:rFonts w:cs="Arial"/>
                <w:shd w:val="clear" w:color="auto" w:fill="FFFFFF" w:themeFill="background1"/>
              </w:rPr>
              <w:t>Boston Tea Party – why this tax, whose property was the tea</w:t>
            </w:r>
            <w:r w:rsidR="008A4B17">
              <w:rPr>
                <w:rFonts w:cs="Arial"/>
              </w:rPr>
              <w:t xml:space="preserve">              </w:t>
            </w:r>
            <w:r w:rsidR="002134CA" w:rsidRPr="002134CA">
              <w:rPr>
                <w:rFonts w:cs="Arial"/>
                <w:b/>
                <w:shd w:val="clear" w:color="auto" w:fill="BDD6EE" w:themeFill="accent1" w:themeFillTint="66"/>
              </w:rPr>
              <w:t>Video:</w:t>
            </w:r>
            <w:r w:rsidR="008A4B17" w:rsidRPr="002134CA">
              <w:rPr>
                <w:rFonts w:cs="Arial"/>
                <w:shd w:val="clear" w:color="auto" w:fill="BDD6EE" w:themeFill="accent1" w:themeFillTint="66"/>
              </w:rPr>
              <w:t xml:space="preserve">  Making a Revolution </w:t>
            </w:r>
            <w:r w:rsidR="002134CA" w:rsidRPr="002134CA">
              <w:rPr>
                <w:rFonts w:cs="Arial"/>
                <w:b/>
                <w:shd w:val="clear" w:color="auto" w:fill="BDD6EE" w:themeFill="accent1" w:themeFillTint="66"/>
              </w:rPr>
              <w:t>Search Word:</w:t>
            </w:r>
            <w:r w:rsidR="008A4B17" w:rsidRPr="002134CA">
              <w:rPr>
                <w:rFonts w:cs="Arial"/>
                <w:shd w:val="clear" w:color="auto" w:fill="BDD6EE" w:themeFill="accent1" w:themeFillTint="66"/>
              </w:rPr>
              <w:t xml:space="preserve">  </w:t>
            </w:r>
            <w:r w:rsidR="00D607B6" w:rsidRPr="002134CA">
              <w:rPr>
                <w:rFonts w:cs="Arial"/>
                <w:shd w:val="clear" w:color="auto" w:fill="BDD6EE" w:themeFill="accent1" w:themeFillTint="66"/>
              </w:rPr>
              <w:t>Tea</w:t>
            </w:r>
          </w:p>
          <w:p w:rsidR="001E055F" w:rsidRDefault="006D6E67">
            <w:pPr>
              <w:pStyle w:val="ListParagraph"/>
              <w:numPr>
                <w:ilvl w:val="0"/>
                <w:numId w:val="4"/>
              </w:numPr>
              <w:rPr>
                <w:rFonts w:cs="Arial"/>
              </w:rPr>
            </w:pPr>
            <w:r>
              <w:rPr>
                <w:rFonts w:cs="Arial"/>
              </w:rPr>
              <w:t>Sons of Liberty - who</w:t>
            </w:r>
          </w:p>
          <w:p w:rsidR="001E055F" w:rsidRPr="00D607B6" w:rsidRDefault="006D6E67" w:rsidP="002134CA">
            <w:pPr>
              <w:pStyle w:val="ListParagraph"/>
              <w:numPr>
                <w:ilvl w:val="0"/>
                <w:numId w:val="4"/>
              </w:numPr>
              <w:shd w:val="clear" w:color="auto" w:fill="FFFFFF" w:themeFill="background1"/>
              <w:rPr>
                <w:rFonts w:cs="Arial"/>
              </w:rPr>
            </w:pPr>
            <w:r w:rsidRPr="00D607B6">
              <w:rPr>
                <w:rFonts w:cs="Arial"/>
              </w:rPr>
              <w:t>Coercive Acts – what</w:t>
            </w:r>
            <w:r w:rsidR="00D607B6" w:rsidRPr="00D607B6">
              <w:rPr>
                <w:rFonts w:cs="Arial"/>
              </w:rPr>
              <w:t xml:space="preserve">                </w:t>
            </w:r>
            <w:r w:rsidR="00D607B6">
              <w:rPr>
                <w:rFonts w:cs="Arial"/>
              </w:rPr>
              <w:t xml:space="preserve">                                                                 </w:t>
            </w:r>
            <w:r w:rsidR="00D607B6" w:rsidRPr="00D607B6">
              <w:rPr>
                <w:rFonts w:cs="Arial"/>
              </w:rPr>
              <w:t xml:space="preserve">     </w:t>
            </w:r>
            <w:r w:rsidR="002134CA" w:rsidRPr="002134CA">
              <w:rPr>
                <w:rFonts w:cs="Arial"/>
                <w:b/>
                <w:shd w:val="clear" w:color="auto" w:fill="BDD6EE" w:themeFill="accent1" w:themeFillTint="66"/>
              </w:rPr>
              <w:t>Video:</w:t>
            </w:r>
            <w:r w:rsidR="00D607B6" w:rsidRPr="002134CA">
              <w:rPr>
                <w:rFonts w:cs="Arial"/>
                <w:shd w:val="clear" w:color="auto" w:fill="BDD6EE" w:themeFill="accent1" w:themeFillTint="66"/>
              </w:rPr>
              <w:t xml:space="preserve">  Making a Revolution </w:t>
            </w:r>
            <w:r w:rsidR="002134CA" w:rsidRPr="002134CA">
              <w:rPr>
                <w:rFonts w:cs="Arial"/>
                <w:b/>
                <w:shd w:val="clear" w:color="auto" w:fill="BDD6EE" w:themeFill="accent1" w:themeFillTint="66"/>
              </w:rPr>
              <w:t>Search Word:</w:t>
            </w:r>
            <w:r w:rsidR="00D607B6" w:rsidRPr="002134CA">
              <w:rPr>
                <w:rFonts w:cs="Arial"/>
                <w:shd w:val="clear" w:color="auto" w:fill="BDD6EE" w:themeFill="accent1" w:themeFillTint="66"/>
              </w:rPr>
              <w:t xml:space="preserve">  Coercive</w:t>
            </w:r>
            <w:r w:rsidR="00D607B6" w:rsidRPr="00D607B6">
              <w:rPr>
                <w:rFonts w:cs="Arial"/>
              </w:rPr>
              <w:t xml:space="preserve"> </w:t>
            </w:r>
          </w:p>
          <w:p w:rsidR="001E055F" w:rsidRDefault="006D6E67">
            <w:pPr>
              <w:pStyle w:val="ListParagraph"/>
              <w:numPr>
                <w:ilvl w:val="0"/>
                <w:numId w:val="4"/>
              </w:numPr>
              <w:rPr>
                <w:rFonts w:cs="Arial"/>
              </w:rPr>
            </w:pPr>
            <w:r>
              <w:rPr>
                <w:rFonts w:cs="Arial"/>
              </w:rPr>
              <w:t>Lord North’s Conciliatory Proposition</w:t>
            </w:r>
          </w:p>
          <w:p w:rsidR="001E055F" w:rsidRDefault="006D6E67">
            <w:pPr>
              <w:pStyle w:val="ListParagraph"/>
              <w:numPr>
                <w:ilvl w:val="0"/>
                <w:numId w:val="4"/>
              </w:numPr>
              <w:rPr>
                <w:rFonts w:cs="Arial"/>
              </w:rPr>
            </w:pPr>
            <w:r>
              <w:rPr>
                <w:rFonts w:cs="Arial"/>
              </w:rPr>
              <w:t>Olive Branch Petition by the Continental Congress</w:t>
            </w:r>
          </w:p>
          <w:p w:rsidR="001E055F" w:rsidRDefault="006D6E67">
            <w:pPr>
              <w:pStyle w:val="ListParagraph"/>
              <w:numPr>
                <w:ilvl w:val="0"/>
                <w:numId w:val="4"/>
              </w:numPr>
              <w:rPr>
                <w:rFonts w:cs="Arial"/>
              </w:rPr>
            </w:pPr>
            <w:r>
              <w:rPr>
                <w:rFonts w:cs="Arial"/>
              </w:rPr>
              <w:t>Thomas Paine’s Common Sense</w:t>
            </w:r>
            <w:r w:rsidR="00D607B6">
              <w:rPr>
                <w:rFonts w:cs="Arial"/>
              </w:rPr>
              <w:t xml:space="preserve">                     </w:t>
            </w:r>
            <w:r w:rsidR="00D5596D">
              <w:rPr>
                <w:rFonts w:cs="Arial"/>
              </w:rPr>
              <w:t xml:space="preserve">                                             </w:t>
            </w:r>
            <w:r w:rsidR="00D5596D" w:rsidRPr="002134CA">
              <w:rPr>
                <w:rFonts w:cs="Arial"/>
                <w:b/>
                <w:shd w:val="clear" w:color="auto" w:fill="BDD6EE" w:themeFill="accent1" w:themeFillTint="66"/>
              </w:rPr>
              <w:t>Video:</w:t>
            </w:r>
            <w:r w:rsidR="00D5596D" w:rsidRPr="002134CA">
              <w:rPr>
                <w:rFonts w:cs="Arial"/>
                <w:shd w:val="clear" w:color="auto" w:fill="BDD6EE" w:themeFill="accent1" w:themeFillTint="66"/>
              </w:rPr>
              <w:t xml:space="preserve">  Declaring Independence</w:t>
            </w:r>
            <w:r w:rsidR="00D5596D" w:rsidRPr="002134CA">
              <w:rPr>
                <w:rFonts w:cs="Arial"/>
                <w:b/>
                <w:shd w:val="clear" w:color="auto" w:fill="BDD6EE" w:themeFill="accent1" w:themeFillTint="66"/>
              </w:rPr>
              <w:t xml:space="preserve"> Search Word: </w:t>
            </w:r>
            <w:r w:rsidR="00D5596D">
              <w:rPr>
                <w:rFonts w:cs="Arial"/>
                <w:shd w:val="clear" w:color="auto" w:fill="BDD6EE" w:themeFill="accent1" w:themeFillTint="66"/>
              </w:rPr>
              <w:t>Common</w:t>
            </w:r>
          </w:p>
          <w:p w:rsidR="001E055F" w:rsidRDefault="006D6E67">
            <w:pPr>
              <w:pStyle w:val="ListParagraph"/>
              <w:numPr>
                <w:ilvl w:val="0"/>
                <w:numId w:val="4"/>
              </w:numPr>
              <w:rPr>
                <w:rFonts w:cs="Arial"/>
              </w:rPr>
            </w:pPr>
            <w:r>
              <w:rPr>
                <w:rFonts w:cs="Arial"/>
              </w:rPr>
              <w:t xml:space="preserve">Declaration of Independence, major positions and its major target </w:t>
            </w:r>
            <w:r>
              <w:rPr>
                <w:rFonts w:cs="Arial"/>
                <w:b/>
              </w:rPr>
              <w:t>(Use the primary.)</w:t>
            </w:r>
            <w:r w:rsidR="00753EF7">
              <w:rPr>
                <w:rFonts w:cs="Arial"/>
                <w:b/>
              </w:rPr>
              <w:t xml:space="preserve"> </w:t>
            </w:r>
            <w:r w:rsidR="002134CA">
              <w:rPr>
                <w:rFonts w:cs="Arial"/>
                <w:b/>
              </w:rPr>
              <w:t xml:space="preserve"> </w:t>
            </w:r>
            <w:r w:rsidR="002134CA" w:rsidRPr="002134CA">
              <w:rPr>
                <w:rFonts w:cs="Arial"/>
                <w:b/>
                <w:shd w:val="clear" w:color="auto" w:fill="BDD6EE" w:themeFill="accent1" w:themeFillTint="66"/>
              </w:rPr>
              <w:t>Video:</w:t>
            </w:r>
            <w:r w:rsidR="002134CA" w:rsidRPr="002134CA">
              <w:rPr>
                <w:rFonts w:cs="Arial"/>
                <w:shd w:val="clear" w:color="auto" w:fill="BDD6EE" w:themeFill="accent1" w:themeFillTint="66"/>
              </w:rPr>
              <w:t xml:space="preserve">  Declaring Independence</w:t>
            </w:r>
            <w:r w:rsidR="002134CA" w:rsidRPr="002134CA">
              <w:rPr>
                <w:rFonts w:cs="Arial"/>
                <w:b/>
                <w:shd w:val="clear" w:color="auto" w:fill="BDD6EE" w:themeFill="accent1" w:themeFillTint="66"/>
              </w:rPr>
              <w:t xml:space="preserve"> Search Word: </w:t>
            </w:r>
            <w:r w:rsidR="002134CA" w:rsidRPr="002134CA">
              <w:rPr>
                <w:rFonts w:cs="Arial"/>
                <w:shd w:val="clear" w:color="auto" w:fill="BDD6EE" w:themeFill="accent1" w:themeFillTint="66"/>
              </w:rPr>
              <w:t>self-evident</w:t>
            </w:r>
          </w:p>
        </w:tc>
      </w:tr>
    </w:tbl>
    <w:p w:rsidR="001E055F" w:rsidRDefault="001E055F"/>
    <w:p w:rsidR="00753EF7" w:rsidRDefault="00753EF7">
      <w:r>
        <w:t>Tip: To understand this, notice the above things changed from the past the Americans thought they had and the British thought they had.</w:t>
      </w:r>
    </w:p>
    <w:p w:rsidR="00753EF7" w:rsidRDefault="00753EF7">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90"/>
      </w:tblGrid>
      <w:tr w:rsidR="001E055F">
        <w:tc>
          <w:tcPr>
            <w:tcW w:w="14390" w:type="dxa"/>
            <w:tcBorders>
              <w:top w:val="nil"/>
              <w:left w:val="nil"/>
              <w:bottom w:val="nil"/>
              <w:right w:val="nil"/>
            </w:tcBorders>
            <w:hideMark/>
          </w:tcPr>
          <w:p w:rsidR="001E055F" w:rsidRDefault="006D6E67">
            <w:pPr>
              <w:pStyle w:val="Heading2"/>
              <w:spacing w:before="0"/>
              <w:rPr>
                <w:rFonts w:eastAsia="Times New Roman"/>
              </w:rPr>
            </w:pPr>
            <w:r>
              <w:rPr>
                <w:rFonts w:eastAsia="Times New Roman"/>
              </w:rPr>
              <w:t xml:space="preserve">Seeing the Revolution through 1776 - </w:t>
            </w:r>
            <w:r>
              <w:rPr>
                <w:rFonts w:eastAsia="Times New Roman"/>
                <w:b w:val="0"/>
                <w:sz w:val="18"/>
                <w:szCs w:val="18"/>
                <w:highlight w:val="yellow"/>
              </w:rPr>
              <w:t>Bright yellow</w:t>
            </w:r>
            <w:r>
              <w:rPr>
                <w:rFonts w:eastAsia="Times New Roman"/>
                <w:b w:val="0"/>
                <w:sz w:val="18"/>
                <w:szCs w:val="18"/>
              </w:rPr>
              <w:t xml:space="preserve"> highlights </w:t>
            </w:r>
            <w:r w:rsidRPr="00E3789D">
              <w:rPr>
                <w:rFonts w:eastAsia="Times New Roman"/>
                <w:b w:val="0"/>
                <w:sz w:val="18"/>
                <w:szCs w:val="18"/>
                <w:shd w:val="clear" w:color="auto" w:fill="BDD6EE" w:themeFill="accent1" w:themeFillTint="66"/>
              </w:rPr>
              <w:t>new and related, prior</w:t>
            </w:r>
            <w:r>
              <w:rPr>
                <w:rFonts w:eastAsia="Times New Roman"/>
                <w:b w:val="0"/>
                <w:sz w:val="18"/>
                <w:szCs w:val="18"/>
              </w:rPr>
              <w:t xml:space="preserve"> terms, </w:t>
            </w:r>
            <w:r>
              <w:rPr>
                <w:rFonts w:eastAsia="Times New Roman"/>
                <w:b w:val="0"/>
                <w:sz w:val="18"/>
                <w:szCs w:val="18"/>
                <w:highlight w:val="magenta"/>
              </w:rPr>
              <w:t>pink</w:t>
            </w:r>
            <w:r>
              <w:rPr>
                <w:rFonts w:eastAsia="Times New Roman"/>
                <w:b w:val="0"/>
                <w:sz w:val="18"/>
                <w:szCs w:val="18"/>
              </w:rPr>
              <w:t xml:space="preserve"> for a </w:t>
            </w:r>
            <w:r w:rsidRPr="00E3789D">
              <w:rPr>
                <w:rFonts w:eastAsia="Times New Roman"/>
                <w:b w:val="0"/>
                <w:sz w:val="18"/>
                <w:szCs w:val="18"/>
                <w:shd w:val="clear" w:color="auto" w:fill="BDD6EE" w:themeFill="accent1" w:themeFillTint="66"/>
              </w:rPr>
              <w:t>new prime minister</w:t>
            </w:r>
            <w:r>
              <w:rPr>
                <w:rFonts w:eastAsia="Times New Roman"/>
                <w:b w:val="0"/>
                <w:sz w:val="18"/>
                <w:szCs w:val="18"/>
              </w:rPr>
              <w:t xml:space="preserve">, and blue used for </w:t>
            </w:r>
            <w:r>
              <w:rPr>
                <w:rFonts w:eastAsia="Times New Roman" w:cs="Times New Roman"/>
                <w:b w:val="0"/>
                <w:bCs w:val="0"/>
                <w:iCs w:val="0"/>
                <w:sz w:val="18"/>
                <w:szCs w:val="18"/>
                <w:highlight w:val="cyan"/>
              </w:rPr>
              <w:t>boycott.</w:t>
            </w:r>
            <w:r>
              <w:rPr>
                <w:rFonts w:eastAsia="Times New Roman" w:cs="Times New Roman"/>
                <w:b w:val="0"/>
                <w:bCs w:val="0"/>
                <w:iCs w:val="0"/>
                <w:sz w:val="18"/>
                <w:szCs w:val="18"/>
              </w:rPr>
              <w:t xml:space="preserve"> Endnotes provide explanations if needed.</w:t>
            </w:r>
            <w:r>
              <w:rPr>
                <w:rFonts w:eastAsia="Times New Roman"/>
                <w:b w:val="0"/>
                <w:sz w:val="18"/>
                <w:szCs w:val="18"/>
              </w:rPr>
              <w:t xml:space="preserve"> The </w:t>
            </w:r>
            <w:r>
              <w:rPr>
                <w:rFonts w:eastAsia="Times New Roman"/>
                <w:b w:val="0"/>
                <w:sz w:val="18"/>
                <w:szCs w:val="18"/>
              </w:rPr>
              <w:sym w:font="Marlett" w:char="F034"/>
            </w:r>
            <w:r>
              <w:rPr>
                <w:rFonts w:eastAsia="Times New Roman"/>
                <w:b w:val="0"/>
                <w:sz w:val="18"/>
                <w:szCs w:val="18"/>
              </w:rPr>
              <w:t xml:space="preserve">s and </w:t>
            </w:r>
            <w:r>
              <w:rPr>
                <w:rFonts w:eastAsia="Times New Roman"/>
                <w:b w:val="0"/>
                <w:sz w:val="18"/>
                <w:szCs w:val="18"/>
              </w:rPr>
              <w:sym w:font="Marlett" w:char="F033"/>
            </w:r>
            <w:r>
              <w:rPr>
                <w:rFonts w:eastAsia="Times New Roman"/>
                <w:b w:val="0"/>
                <w:sz w:val="18"/>
                <w:szCs w:val="18"/>
              </w:rPr>
              <w:t xml:space="preserve">s in the </w:t>
            </w:r>
            <w:r>
              <w:rPr>
                <w:rFonts w:eastAsia="Times New Roman"/>
                <w:b w:val="0"/>
                <w:sz w:val="18"/>
                <w:szCs w:val="18"/>
                <w:shd w:val="clear" w:color="auto" w:fill="FFFF99"/>
              </w:rPr>
              <w:t>pale yellow rows</w:t>
            </w:r>
            <w:r>
              <w:rPr>
                <w:rFonts w:eastAsia="Times New Roman"/>
                <w:b w:val="0"/>
                <w:sz w:val="18"/>
                <w:szCs w:val="18"/>
              </w:rPr>
              <w:t xml:space="preserve"> (or </w:t>
            </w:r>
            <w:r>
              <w:rPr>
                <w:rFonts w:eastAsia="Times New Roman"/>
                <w:b w:val="0"/>
                <w:sz w:val="18"/>
                <w:szCs w:val="18"/>
                <w:shd w:val="clear" w:color="auto" w:fill="CCFFFF"/>
              </w:rPr>
              <w:t>light blue</w:t>
            </w:r>
            <w:r>
              <w:rPr>
                <w:rFonts w:eastAsia="Times New Roman"/>
                <w:b w:val="0"/>
                <w:sz w:val="18"/>
                <w:szCs w:val="18"/>
              </w:rPr>
              <w:t xml:space="preserve"> if a 2nd event) show who started an event and the </w:t>
            </w:r>
            <w:r>
              <w:rPr>
                <w:rFonts w:eastAsia="Times New Roman"/>
                <w:b w:val="0"/>
                <w:sz w:val="18"/>
                <w:szCs w:val="18"/>
              </w:rPr>
              <w:sym w:font="Marlett" w:char="F035"/>
            </w:r>
            <w:r>
              <w:rPr>
                <w:rFonts w:eastAsia="Times New Roman"/>
                <w:b w:val="0"/>
                <w:sz w:val="18"/>
                <w:szCs w:val="18"/>
              </w:rPr>
              <w:t>s show the consequences.</w:t>
            </w:r>
          </w:p>
        </w:tc>
      </w:tr>
    </w:tbl>
    <w:p w:rsidR="001E055F" w:rsidRDefault="001E055F">
      <w:pPr>
        <w:rPr>
          <w:sz w:val="4"/>
          <w:szCs w:val="4"/>
        </w:rPr>
      </w:pPr>
    </w:p>
    <w:tbl>
      <w:tblPr>
        <w:tblW w:w="14256" w:type="dxa"/>
        <w:tblInd w:w="144" w:type="dxa"/>
        <w:tblBorders>
          <w:top w:val="single" w:sz="4" w:space="0" w:color="auto"/>
          <w:left w:val="single" w:sz="4" w:space="0" w:color="auto"/>
          <w:bottom w:val="single" w:sz="4" w:space="0" w:color="auto"/>
          <w:right w:val="single" w:sz="4" w:space="0" w:color="auto"/>
        </w:tblBorders>
        <w:tblCellMar>
          <w:left w:w="14" w:type="dxa"/>
          <w:right w:w="14" w:type="dxa"/>
        </w:tblCellMar>
        <w:tblLook w:val="04A0" w:firstRow="1" w:lastRow="0" w:firstColumn="1" w:lastColumn="0" w:noHBand="0" w:noVBand="1"/>
      </w:tblPr>
      <w:tblGrid>
        <w:gridCol w:w="91"/>
        <w:gridCol w:w="823"/>
        <w:gridCol w:w="1018"/>
        <w:gridCol w:w="16"/>
        <w:gridCol w:w="722"/>
        <w:gridCol w:w="22"/>
        <w:gridCol w:w="1009"/>
        <w:gridCol w:w="931"/>
        <w:gridCol w:w="1270"/>
        <w:gridCol w:w="1059"/>
        <w:gridCol w:w="1206"/>
        <w:gridCol w:w="715"/>
        <w:gridCol w:w="882"/>
        <w:gridCol w:w="863"/>
        <w:gridCol w:w="820"/>
        <w:gridCol w:w="17"/>
        <w:gridCol w:w="11"/>
        <w:gridCol w:w="717"/>
        <w:gridCol w:w="19"/>
        <w:gridCol w:w="857"/>
        <w:gridCol w:w="1471"/>
      </w:tblGrid>
      <w:tr w:rsidR="001E055F">
        <w:trPr>
          <w:tblHeader/>
        </w:trPr>
        <w:tc>
          <w:tcPr>
            <w:tcW w:w="125" w:type="dxa"/>
            <w:tcBorders>
              <w:top w:val="nil"/>
              <w:left w:val="nil"/>
              <w:bottom w:val="nil"/>
              <w:right w:val="single" w:sz="4" w:space="0" w:color="auto"/>
            </w:tcBorders>
            <w:tcMar>
              <w:top w:w="0" w:type="dxa"/>
              <w:left w:w="0" w:type="dxa"/>
              <w:bottom w:w="0" w:type="dxa"/>
              <w:right w:w="0" w:type="dxa"/>
            </w:tcMar>
          </w:tcPr>
          <w:p w:rsidR="001E055F" w:rsidRDefault="006D6E67">
            <w:pPr>
              <w:pStyle w:val="N-2RForArtOnly"/>
              <w:jc w:val="center"/>
              <w:rPr>
                <w:rFonts w:ascii="Times New Roman" w:hAnsi="Times New Roman"/>
                <w:sz w:val="24"/>
                <w:szCs w:val="24"/>
              </w:rPr>
            </w:pPr>
            <w:r>
              <w:br w:type="page"/>
            </w:r>
          </w:p>
        </w:tc>
        <w:tc>
          <w:tcPr>
            <w:tcW w:w="829"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Indians</w:t>
            </w:r>
          </w:p>
        </w:tc>
        <w:tc>
          <w:tcPr>
            <w:tcW w:w="97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French Colonies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Spanish Colonies</w:t>
            </w:r>
          </w:p>
        </w:tc>
        <w:tc>
          <w:tcPr>
            <w:tcW w:w="955"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British Colonies</w:t>
            </w:r>
          </w:p>
        </w:tc>
        <w:tc>
          <w:tcPr>
            <w:tcW w:w="1036"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 xml:space="preserve">British </w:t>
            </w:r>
          </w:p>
          <w:p w:rsidR="001E055F" w:rsidRPr="000964B3" w:rsidRDefault="006D6E67">
            <w:pPr>
              <w:pStyle w:val="Arttext"/>
              <w:rPr>
                <w:rFonts w:cs="Arial"/>
                <w:sz w:val="20"/>
                <w:szCs w:val="20"/>
              </w:rPr>
            </w:pPr>
            <w:r w:rsidRPr="000964B3">
              <w:rPr>
                <w:rFonts w:cs="Arial"/>
                <w:sz w:val="20"/>
                <w:szCs w:val="20"/>
              </w:rPr>
              <w:t>Kings</w:t>
            </w:r>
          </w:p>
        </w:tc>
        <w:tc>
          <w:tcPr>
            <w:tcW w:w="1184"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British Government</w:t>
            </w:r>
          </w:p>
        </w:tc>
        <w:tc>
          <w:tcPr>
            <w:tcW w:w="1005"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British Regulation</w:t>
            </w:r>
          </w:p>
        </w:tc>
        <w:tc>
          <w:tcPr>
            <w:tcW w:w="1184"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Colonial Governments</w:t>
            </w:r>
          </w:p>
        </w:tc>
        <w:tc>
          <w:tcPr>
            <w:tcW w:w="698"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Religion</w:t>
            </w:r>
          </w:p>
        </w:tc>
        <w:tc>
          <w:tcPr>
            <w:tcW w:w="1036"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 xml:space="preserve">Interests </w:t>
            </w:r>
            <w:r w:rsidRPr="000964B3">
              <w:rPr>
                <w:rFonts w:cs="Arial"/>
                <w:sz w:val="20"/>
                <w:szCs w:val="20"/>
              </w:rPr>
              <w:sym w:font="Symbol" w:char="F02D"/>
            </w:r>
            <w:r w:rsidRPr="000964B3">
              <w:rPr>
                <w:rFonts w:cs="Arial"/>
                <w:sz w:val="20"/>
                <w:szCs w:val="20"/>
              </w:rPr>
              <w:t xml:space="preserve"> North </w:t>
            </w:r>
          </w:p>
        </w:tc>
        <w:tc>
          <w:tcPr>
            <w:tcW w:w="817"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 xml:space="preserve">Interests  </w:t>
            </w:r>
            <w:r w:rsidRPr="000964B3">
              <w:rPr>
                <w:rFonts w:cs="Arial"/>
                <w:sz w:val="20"/>
                <w:szCs w:val="20"/>
              </w:rPr>
              <w:sym w:font="Symbol" w:char="F02D"/>
            </w:r>
            <w:r w:rsidRPr="000964B3">
              <w:rPr>
                <w:rFonts w:cs="Arial"/>
                <w:sz w:val="20"/>
                <w:szCs w:val="20"/>
              </w:rPr>
              <w:t xml:space="preserve"> South</w:t>
            </w:r>
          </w:p>
        </w:tc>
        <w:tc>
          <w:tcPr>
            <w:tcW w:w="806" w:type="dxa"/>
            <w:gridSpan w:val="2"/>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Land Hunger</w:t>
            </w:r>
          </w:p>
        </w:tc>
        <w:tc>
          <w:tcPr>
            <w:tcW w:w="737" w:type="dxa"/>
            <w:gridSpan w:val="3"/>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 xml:space="preserve">The Press </w:t>
            </w:r>
          </w:p>
        </w:tc>
        <w:tc>
          <w:tcPr>
            <w:tcW w:w="807"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Other</w:t>
            </w:r>
          </w:p>
        </w:tc>
        <w:tc>
          <w:tcPr>
            <w:tcW w:w="1349" w:type="dxa"/>
            <w:tcBorders>
              <w:top w:val="single" w:sz="4" w:space="0" w:color="auto"/>
              <w:left w:val="single" w:sz="4" w:space="0" w:color="auto"/>
              <w:bottom w:val="single" w:sz="4" w:space="0" w:color="auto"/>
              <w:right w:val="single" w:sz="4" w:space="0" w:color="auto"/>
            </w:tcBorders>
            <w:shd w:val="clear" w:color="auto" w:fill="F3F3F3"/>
            <w:hideMark/>
          </w:tcPr>
          <w:p w:rsidR="001E055F" w:rsidRPr="000964B3" w:rsidRDefault="006D6E67">
            <w:pPr>
              <w:pStyle w:val="Arttext"/>
              <w:rPr>
                <w:rFonts w:cs="Arial"/>
                <w:sz w:val="20"/>
                <w:szCs w:val="20"/>
              </w:rPr>
            </w:pPr>
            <w:r w:rsidRPr="000964B3">
              <w:rPr>
                <w:rFonts w:cs="Arial"/>
                <w:sz w:val="20"/>
                <w:szCs w:val="20"/>
              </w:rPr>
              <w:t>Intercolonial Communication</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6D6E67">
            <w:pPr>
              <w:pStyle w:val="Arttext"/>
              <w:jc w:val="center"/>
              <w:rPr>
                <w:color w:val="FF0000"/>
              </w:rPr>
            </w:pPr>
            <w:r>
              <w:rPr>
                <w:color w:val="FF0000"/>
              </w:rPr>
              <w:t>&gt;</w:t>
            </w:r>
          </w:p>
          <w:p w:rsidR="001E055F" w:rsidRDefault="001E055F">
            <w:pPr>
              <w:pStyle w:val="Arttext"/>
              <w:jc w:val="center"/>
              <w:rPr>
                <w:color w:val="FF0000"/>
              </w:rPr>
            </w:pPr>
          </w:p>
          <w:p w:rsidR="001E055F" w:rsidRDefault="001E055F">
            <w:pPr>
              <w:pStyle w:val="Arttext"/>
              <w:jc w:val="center"/>
              <w:rPr>
                <w:color w:val="FF0000"/>
              </w:rPr>
            </w:pPr>
          </w:p>
          <w:p w:rsidR="001E055F" w:rsidRDefault="001E055F">
            <w:pPr>
              <w:pStyle w:val="Arttext"/>
              <w:jc w:val="center"/>
              <w:rPr>
                <w:color w:val="FF0000"/>
              </w:rPr>
            </w:pPr>
          </w:p>
          <w:p w:rsidR="001E055F" w:rsidRDefault="001E055F">
            <w:pPr>
              <w:pStyle w:val="Arttext"/>
              <w:jc w:val="center"/>
              <w:rPr>
                <w:color w:val="FF0000"/>
              </w:rPr>
            </w:pPr>
          </w:p>
          <w:p w:rsidR="001E055F" w:rsidRDefault="006D6E67">
            <w:pPr>
              <w:pStyle w:val="Arttext"/>
              <w:jc w:val="center"/>
              <w:rPr>
                <w:color w:val="FF0000"/>
              </w:rPr>
            </w:pPr>
            <w:r>
              <w:rPr>
                <w:color w:val="FF0000"/>
              </w:rPr>
              <w:t>&gt;</w:t>
            </w:r>
          </w:p>
          <w:p w:rsidR="001E055F" w:rsidRDefault="001E055F">
            <w:pPr>
              <w:pStyle w:val="Arttext"/>
              <w:jc w:val="center"/>
              <w:rPr>
                <w:color w:val="FF0000"/>
              </w:rPr>
            </w:pPr>
          </w:p>
        </w:tc>
        <w:tc>
          <w:tcPr>
            <w:tcW w:w="829" w:type="dxa"/>
            <w:tcBorders>
              <w:top w:val="single" w:sz="4" w:space="0" w:color="auto"/>
              <w:left w:val="single" w:sz="4" w:space="0" w:color="auto"/>
              <w:bottom w:val="nil"/>
              <w:right w:val="single" w:sz="4" w:space="0" w:color="auto"/>
            </w:tcBorders>
          </w:tcPr>
          <w:p w:rsidR="001E055F" w:rsidRPr="000964B3" w:rsidRDefault="006D6E67">
            <w:pPr>
              <w:pStyle w:val="Arttext"/>
              <w:rPr>
                <w:rFonts w:cs="Arial"/>
                <w:sz w:val="20"/>
                <w:szCs w:val="20"/>
              </w:rPr>
            </w:pPr>
            <w:r w:rsidRPr="000964B3">
              <w:rPr>
                <w:rFonts w:cs="Arial"/>
                <w:sz w:val="20"/>
                <w:szCs w:val="20"/>
              </w:rPr>
              <w:t>Woodland Indians,</w:t>
            </w:r>
          </w:p>
          <w:p w:rsidR="001E055F" w:rsidRPr="000964B3" w:rsidRDefault="006D6E67">
            <w:pPr>
              <w:pStyle w:val="Arttext"/>
              <w:rPr>
                <w:rFonts w:cs="Arial"/>
                <w:sz w:val="20"/>
                <w:szCs w:val="20"/>
              </w:rPr>
            </w:pPr>
            <w:r w:rsidRPr="000964B3">
              <w:rPr>
                <w:rFonts w:cs="Arial"/>
                <w:sz w:val="20"/>
                <w:szCs w:val="20"/>
              </w:rPr>
              <w:t>Iroquois Confed</w:t>
            </w:r>
            <w:r w:rsidRPr="000964B3">
              <w:rPr>
                <w:rFonts w:cs="Arial"/>
                <w:sz w:val="20"/>
                <w:szCs w:val="20"/>
              </w:rPr>
              <w:softHyphen/>
              <w:t>eration and a balance of power</w:t>
            </w:r>
          </w:p>
          <w:p w:rsidR="001E055F" w:rsidRPr="000964B3" w:rsidRDefault="001E055F">
            <w:pPr>
              <w:pStyle w:val="Arttext"/>
              <w:rPr>
                <w:rFonts w:cs="Arial"/>
                <w:sz w:val="20"/>
                <w:szCs w:val="20"/>
              </w:rPr>
            </w:pPr>
          </w:p>
        </w:tc>
        <w:tc>
          <w:tcPr>
            <w:tcW w:w="971" w:type="dxa"/>
            <w:gridSpan w:val="2"/>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Rivers, feudal land-holding,</w:t>
            </w:r>
          </w:p>
          <w:p w:rsidR="001E055F" w:rsidRPr="000964B3" w:rsidRDefault="006D6E67">
            <w:pPr>
              <w:pStyle w:val="Arttext"/>
              <w:rPr>
                <w:rFonts w:cs="Arial"/>
                <w:sz w:val="20"/>
                <w:szCs w:val="20"/>
              </w:rPr>
            </w:pPr>
            <w:r w:rsidRPr="000964B3">
              <w:rPr>
                <w:rFonts w:cs="Arial"/>
                <w:sz w:val="20"/>
                <w:szCs w:val="20"/>
              </w:rPr>
              <w:t>centralized government, intermingling with Indians</w:t>
            </w:r>
          </w:p>
        </w:tc>
        <w:tc>
          <w:tcPr>
            <w:tcW w:w="717" w:type="dxa"/>
            <w:gridSpan w:val="2"/>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Florida as a buffer to English in Georgia</w:t>
            </w:r>
          </w:p>
        </w:tc>
        <w:tc>
          <w:tcPr>
            <w:tcW w:w="95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Atlantic, not feudal land-holding, de-centralized government,</w:t>
            </w:r>
          </w:p>
          <w:p w:rsidR="001E055F" w:rsidRPr="000964B3" w:rsidRDefault="006D6E67">
            <w:pPr>
              <w:pStyle w:val="Arttext"/>
              <w:rPr>
                <w:rFonts w:cs="Arial"/>
                <w:sz w:val="20"/>
                <w:szCs w:val="20"/>
              </w:rPr>
            </w:pPr>
            <w:r w:rsidRPr="000964B3">
              <w:rPr>
                <w:rFonts w:cs="Arial"/>
                <w:sz w:val="20"/>
                <w:szCs w:val="20"/>
              </w:rPr>
              <w:lastRenderedPageBreak/>
              <w:t xml:space="preserve">separate </w:t>
            </w:r>
            <w:r w:rsidRPr="000964B3">
              <w:rPr>
                <w:rFonts w:cs="Arial"/>
                <w:spacing w:val="4"/>
                <w:sz w:val="20"/>
                <w:szCs w:val="20"/>
              </w:rPr>
              <w:t>from Indians</w:t>
            </w:r>
          </w:p>
        </w:tc>
        <w:tc>
          <w:tcPr>
            <w:tcW w:w="1036"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lastRenderedPageBreak/>
              <w:t xml:space="preserve">1600–1689 alternating pro-Catholic, pro-Protestant rulers and religious </w:t>
            </w:r>
            <w:r w:rsidRPr="000964B3">
              <w:rPr>
                <w:rFonts w:cs="Arial"/>
                <w:sz w:val="20"/>
                <w:szCs w:val="20"/>
              </w:rPr>
              <w:lastRenderedPageBreak/>
              <w:t xml:space="preserve">and political struggles </w:t>
            </w: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lastRenderedPageBreak/>
              <w:t>Rejection by the English (with the killing of a king) of the idea of divine right of kings</w:t>
            </w: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Navigation Acts of the 1600s and acts in the 1700s -</w:t>
            </w:r>
            <w:r w:rsidRPr="000964B3">
              <w:rPr>
                <w:rFonts w:cs="Arial"/>
                <w:sz w:val="20"/>
                <w:szCs w:val="20"/>
                <w:highlight w:val="yellow"/>
              </w:rPr>
              <w:t>mercantile</w:t>
            </w:r>
            <w:r w:rsidRPr="000964B3">
              <w:rPr>
                <w:rStyle w:val="EndnoteReference"/>
                <w:rFonts w:cs="Arial"/>
                <w:sz w:val="20"/>
                <w:szCs w:val="20"/>
                <w:highlight w:val="yellow"/>
              </w:rPr>
              <w:endnoteReference w:id="1"/>
            </w:r>
            <w:r w:rsidRPr="000964B3">
              <w:rPr>
                <w:rFonts w:cs="Arial"/>
                <w:sz w:val="20"/>
                <w:szCs w:val="20"/>
                <w:highlight w:val="yellow"/>
              </w:rPr>
              <w:t xml:space="preserve"> regulation,</w:t>
            </w:r>
            <w:r w:rsidRPr="000964B3">
              <w:rPr>
                <w:rFonts w:cs="Arial"/>
                <w:sz w:val="20"/>
                <w:szCs w:val="20"/>
              </w:rPr>
              <w:t xml:space="preserve"> </w:t>
            </w:r>
            <w:r w:rsidRPr="000964B3">
              <w:rPr>
                <w:rFonts w:cs="Arial"/>
                <w:b/>
                <w:sz w:val="20"/>
                <w:szCs w:val="20"/>
              </w:rPr>
              <w:t>not</w:t>
            </w:r>
            <w:r w:rsidRPr="000964B3">
              <w:rPr>
                <w:rFonts w:cs="Arial"/>
                <w:sz w:val="20"/>
                <w:szCs w:val="20"/>
              </w:rPr>
              <w:t xml:space="preserve"> revenue.</w:t>
            </w: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Colonies established as havens for different religions, and going their own way by English neglect. </w:t>
            </w:r>
          </w:p>
        </w:tc>
        <w:tc>
          <w:tcPr>
            <w:tcW w:w="698"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Colonies sensitive to threats to their religions</w:t>
            </w:r>
          </w:p>
        </w:tc>
        <w:tc>
          <w:tcPr>
            <w:tcW w:w="1036"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Navigation Acts, benefiting the developing merchant class and its infra-structure</w:t>
            </w:r>
          </w:p>
        </w:tc>
        <w:tc>
          <w:tcPr>
            <w:tcW w:w="817"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Navigation Acts, keeping out competing buyers</w:t>
            </w:r>
          </w:p>
        </w:tc>
        <w:tc>
          <w:tcPr>
            <w:tcW w:w="806" w:type="dxa"/>
            <w:gridSpan w:val="2"/>
            <w:tcBorders>
              <w:top w:val="single" w:sz="4" w:space="0" w:color="auto"/>
              <w:left w:val="single" w:sz="4" w:space="0" w:color="auto"/>
              <w:bottom w:val="nil"/>
              <w:right w:val="single" w:sz="4" w:space="0" w:color="auto"/>
            </w:tcBorders>
          </w:tcPr>
          <w:p w:rsidR="001E055F" w:rsidRPr="000964B3" w:rsidRDefault="006D6E67">
            <w:pPr>
              <w:pStyle w:val="Arttext"/>
              <w:rPr>
                <w:rFonts w:cs="Arial"/>
                <w:sz w:val="20"/>
                <w:szCs w:val="20"/>
              </w:rPr>
            </w:pPr>
            <w:r w:rsidRPr="000964B3">
              <w:rPr>
                <w:rFonts w:cs="Arial"/>
                <w:sz w:val="20"/>
                <w:szCs w:val="20"/>
              </w:rPr>
              <w:t>Among the many examples, Bacon’s Rebellion (1676).</w:t>
            </w:r>
          </w:p>
          <w:p w:rsidR="001E055F" w:rsidRPr="000964B3" w:rsidRDefault="001E055F">
            <w:pPr>
              <w:pStyle w:val="Arttext"/>
              <w:rPr>
                <w:rFonts w:cs="Arial"/>
                <w:sz w:val="20"/>
                <w:szCs w:val="20"/>
              </w:rPr>
            </w:pPr>
          </w:p>
        </w:tc>
        <w:tc>
          <w:tcPr>
            <w:tcW w:w="737" w:type="dxa"/>
            <w:gridSpan w:val="3"/>
            <w:tcBorders>
              <w:top w:val="single" w:sz="4" w:space="0" w:color="auto"/>
              <w:left w:val="single" w:sz="4" w:space="0" w:color="auto"/>
              <w:bottom w:val="nil"/>
              <w:right w:val="single" w:sz="4" w:space="0" w:color="auto"/>
            </w:tcBorders>
          </w:tcPr>
          <w:p w:rsidR="001E055F" w:rsidRPr="000964B3" w:rsidRDefault="006D6E67">
            <w:pPr>
              <w:pStyle w:val="Arttext"/>
              <w:rPr>
                <w:rFonts w:cs="Arial"/>
                <w:sz w:val="20"/>
                <w:szCs w:val="20"/>
              </w:rPr>
            </w:pPr>
            <w:r w:rsidRPr="000964B3">
              <w:rPr>
                <w:rFonts w:cs="Arial"/>
                <w:sz w:val="20"/>
                <w:szCs w:val="20"/>
              </w:rPr>
              <w:t xml:space="preserve">Powerful colonial interest in news-papers </w:t>
            </w:r>
          </w:p>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Communications are primarily colony to Britain, not colony to colony.</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w:t>
            </w:r>
          </w:p>
        </w:tc>
        <w:tc>
          <w:tcPr>
            <w:tcW w:w="971"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7"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71"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7"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5"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005"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30"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6</w:t>
            </w:r>
          </w:p>
          <w:p w:rsidR="001E055F" w:rsidRDefault="006D6E67">
            <w:pPr>
              <w:pStyle w:val="Arttext"/>
              <w:jc w:val="center"/>
            </w:pPr>
            <w:r>
              <w:t>8</w:t>
            </w:r>
          </w:p>
          <w:p w:rsidR="001E055F" w:rsidRDefault="006D6E67">
            <w:pPr>
              <w:pStyle w:val="Arttext"/>
              <w:jc w:val="center"/>
            </w:pPr>
            <w:r>
              <w:t>9</w:t>
            </w:r>
          </w:p>
          <w:p w:rsidR="001E055F" w:rsidRDefault="006D6E67">
            <w:pPr>
              <w:pStyle w:val="Arttext"/>
              <w:jc w:val="center"/>
            </w:pPr>
            <w:r>
              <w:t>+</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71"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7"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Declaration of Rights with Glorious Revolution. </w:t>
            </w:r>
            <w:r w:rsidRPr="000964B3">
              <w:rPr>
                <w:rFonts w:cs="Arial"/>
                <w:sz w:val="20"/>
                <w:szCs w:val="20"/>
                <w:highlight w:val="yellow"/>
              </w:rPr>
              <w:t>John Locke</w:t>
            </w:r>
            <w:r w:rsidRPr="000964B3">
              <w:rPr>
                <w:rFonts w:cs="Arial"/>
                <w:sz w:val="20"/>
                <w:szCs w:val="20"/>
              </w:rPr>
              <w:t xml:space="preserve"> and views of the Enlightenment.</w:t>
            </w:r>
          </w:p>
        </w:tc>
        <w:tc>
          <w:tcPr>
            <w:tcW w:w="100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Response to the Glorious Revolution. Spread of the </w:t>
            </w:r>
            <w:r w:rsidRPr="000964B3">
              <w:rPr>
                <w:rFonts w:cs="Arial"/>
                <w:sz w:val="20"/>
                <w:szCs w:val="20"/>
                <w:highlight w:val="yellow"/>
              </w:rPr>
              <w:t>Enlightenment</w:t>
            </w:r>
            <w:r w:rsidRPr="000964B3">
              <w:rPr>
                <w:rFonts w:cs="Arial"/>
                <w:sz w:val="20"/>
                <w:szCs w:val="20"/>
              </w:rPr>
              <w:t xml:space="preserve"> and its principles.</w:t>
            </w: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1</w:t>
            </w:r>
          </w:p>
          <w:p w:rsidR="001E055F" w:rsidRDefault="006D6E67">
            <w:pPr>
              <w:pStyle w:val="Arttext"/>
              <w:jc w:val="center"/>
            </w:pPr>
            <w:r>
              <w:t>4</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71"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7"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Succession by Hanovers</w:t>
            </w:r>
            <w:r w:rsidRPr="000964B3">
              <w:rPr>
                <w:rFonts w:cs="Arial"/>
                <w:sz w:val="20"/>
                <w:szCs w:val="20"/>
                <w:highlight w:val="yellow"/>
              </w:rPr>
              <w:t xml:space="preserve"> (</w:t>
            </w:r>
            <w:r w:rsidRPr="000964B3">
              <w:rPr>
                <w:rFonts w:cs="Arial"/>
                <w:sz w:val="20"/>
                <w:szCs w:val="20"/>
              </w:rPr>
              <w:t>German), not acting like kings until George III.</w:t>
            </w: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Development of </w:t>
            </w:r>
            <w:r w:rsidRPr="000964B3">
              <w:rPr>
                <w:rFonts w:cs="Arial"/>
                <w:b/>
                <w:sz w:val="20"/>
                <w:szCs w:val="20"/>
              </w:rPr>
              <w:t>new</w:t>
            </w:r>
            <w:r w:rsidRPr="000964B3">
              <w:rPr>
                <w:rFonts w:cs="Arial"/>
                <w:sz w:val="20"/>
                <w:szCs w:val="20"/>
              </w:rPr>
              <w:t xml:space="preserve"> form of government </w:t>
            </w:r>
            <w:r w:rsidRPr="000964B3">
              <w:rPr>
                <w:rFonts w:cs="Arial"/>
                <w:sz w:val="20"/>
                <w:szCs w:val="20"/>
                <w:highlight w:val="yellow"/>
              </w:rPr>
              <w:t xml:space="preserve">Cabinet </w:t>
            </w:r>
            <w:r w:rsidRPr="000964B3">
              <w:rPr>
                <w:rFonts w:cs="Arial"/>
                <w:sz w:val="20"/>
                <w:szCs w:val="20"/>
              </w:rPr>
              <w:t xml:space="preserve">government with a </w:t>
            </w:r>
            <w:r w:rsidRPr="000964B3">
              <w:rPr>
                <w:rFonts w:cs="Arial"/>
                <w:sz w:val="20"/>
                <w:szCs w:val="20"/>
                <w:highlight w:val="yellow"/>
              </w:rPr>
              <w:t>prime minister</w:t>
            </w:r>
            <w:r w:rsidRPr="000964B3">
              <w:rPr>
                <w:rStyle w:val="EndnoteReference"/>
                <w:rFonts w:cs="Arial"/>
                <w:sz w:val="20"/>
                <w:szCs w:val="20"/>
              </w:rPr>
              <w:endnoteReference w:id="2"/>
            </w:r>
            <w:r w:rsidRPr="000964B3">
              <w:rPr>
                <w:rFonts w:cs="Arial"/>
                <w:sz w:val="20"/>
                <w:szCs w:val="20"/>
              </w:rPr>
              <w:t>.</w:t>
            </w:r>
          </w:p>
        </w:tc>
        <w:tc>
          <w:tcPr>
            <w:tcW w:w="100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More colonies become royal, but colonial legislatures maintain control over </w:t>
            </w:r>
            <w:r w:rsidRPr="000964B3">
              <w:rPr>
                <w:rFonts w:cs="Arial"/>
                <w:sz w:val="20"/>
                <w:szCs w:val="20"/>
                <w:highlight w:val="yellow"/>
              </w:rPr>
              <w:t>“power of the purse”</w:t>
            </w:r>
            <w:r w:rsidRPr="000964B3">
              <w:rPr>
                <w:rFonts w:cs="Arial"/>
                <w:sz w:val="20"/>
                <w:szCs w:val="20"/>
              </w:rPr>
              <w:t xml:space="preserve"> (to tax)</w:t>
            </w: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730"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71"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7"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Virtual representation</w:t>
            </w:r>
            <w:r w:rsidRPr="000964B3">
              <w:rPr>
                <w:rStyle w:val="EndnoteReference"/>
                <w:rFonts w:cs="Arial"/>
                <w:sz w:val="20"/>
                <w:szCs w:val="20"/>
              </w:rPr>
              <w:endnoteReference w:id="3"/>
            </w:r>
            <w:r w:rsidRPr="000964B3">
              <w:rPr>
                <w:rFonts w:cs="Arial"/>
                <w:sz w:val="20"/>
                <w:szCs w:val="20"/>
              </w:rPr>
              <w:t>.</w:t>
            </w:r>
          </w:p>
        </w:tc>
        <w:tc>
          <w:tcPr>
            <w:tcW w:w="100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Actual representation.</w:t>
            </w: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730"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71"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7"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5" w:type="dxa"/>
            <w:tcBorders>
              <w:top w:val="nil"/>
              <w:left w:val="single" w:sz="4" w:space="0" w:color="auto"/>
              <w:bottom w:val="nil"/>
              <w:right w:val="single" w:sz="4" w:space="0" w:color="auto"/>
            </w:tcBorders>
            <w:hideMark/>
          </w:tcPr>
          <w:p w:rsidR="001E055F" w:rsidRPr="000964B3" w:rsidRDefault="0094221B">
            <w:pPr>
              <w:pStyle w:val="Arttext"/>
              <w:rPr>
                <w:rFonts w:cs="Arial"/>
                <w:sz w:val="20"/>
                <w:szCs w:val="20"/>
              </w:rPr>
            </w:pPr>
            <w:hyperlink r:id="rId8" w:history="1">
              <w:r w:rsidR="006D6E67" w:rsidRPr="000964B3">
                <w:rPr>
                  <w:rStyle w:val="Hyperlink"/>
                  <w:rFonts w:cs="Arial"/>
                  <w:sz w:val="20"/>
                  <w:szCs w:val="20"/>
                </w:rPr>
                <w:t>Wars for empire (1689-1748</w:t>
              </w:r>
            </w:hyperlink>
            <w:r w:rsidR="006D6E67" w:rsidRPr="000964B3">
              <w:rPr>
                <w:rFonts w:cs="Arial"/>
                <w:sz w:val="20"/>
                <w:szCs w:val="20"/>
              </w:rPr>
              <w:t>), with colonial outbreaks</w:t>
            </w:r>
            <w:r w:rsidR="006D6E67" w:rsidRPr="000964B3">
              <w:rPr>
                <w:rStyle w:val="EndnoteReference"/>
                <w:rFonts w:cs="Arial"/>
                <w:sz w:val="20"/>
                <w:szCs w:val="20"/>
              </w:rPr>
              <w:endnoteReference w:id="4"/>
            </w:r>
            <w:r w:rsidR="006D6E67" w:rsidRPr="000964B3">
              <w:rPr>
                <w:rFonts w:cs="Arial"/>
                <w:sz w:val="20"/>
                <w:szCs w:val="20"/>
              </w:rPr>
              <w:t>.</w:t>
            </w: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British focus on these wars and the goals of empire</w:t>
            </w:r>
          </w:p>
        </w:tc>
        <w:tc>
          <w:tcPr>
            <w:tcW w:w="1184"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Perpetuation of the British </w:t>
            </w:r>
            <w:r w:rsidRPr="000964B3">
              <w:rPr>
                <w:rFonts w:cs="Arial"/>
                <w:sz w:val="20"/>
                <w:szCs w:val="20"/>
                <w:highlight w:val="yellow"/>
              </w:rPr>
              <w:t>letting the colonies go their own way</w:t>
            </w:r>
            <w:r w:rsidRPr="000964B3">
              <w:rPr>
                <w:rFonts w:cs="Arial"/>
                <w:sz w:val="20"/>
                <w:szCs w:val="20"/>
              </w:rPr>
              <w:t>.</w:t>
            </w: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730" w:type="dxa"/>
            <w:gridSpan w:val="2"/>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Zenger case (1735)</w:t>
            </w: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71"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7"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5"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036"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1005"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184"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30"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5</w:t>
            </w:r>
          </w:p>
          <w:p w:rsidR="001E055F" w:rsidRDefault="006D6E67">
            <w:pPr>
              <w:pStyle w:val="Arttext"/>
              <w:jc w:val="center"/>
            </w:pPr>
            <w:r>
              <w:t>4</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71" w:type="dxa"/>
            <w:gridSpan w:val="2"/>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yellow"/>
              </w:rPr>
              <w:t>French and Indian War</w:t>
            </w:r>
            <w:r w:rsidRPr="000964B3">
              <w:rPr>
                <w:rFonts w:cs="Arial"/>
                <w:sz w:val="20"/>
                <w:szCs w:val="20"/>
              </w:rPr>
              <w:t xml:space="preserve"> (Seven Years’ War)</w:t>
            </w:r>
          </w:p>
        </w:tc>
        <w:tc>
          <w:tcPr>
            <w:tcW w:w="717"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Albany Plan</w:t>
            </w:r>
            <w:r w:rsidRPr="000964B3">
              <w:rPr>
                <w:rStyle w:val="EndnoteReference"/>
                <w:rFonts w:cs="Arial"/>
                <w:sz w:val="20"/>
                <w:szCs w:val="20"/>
              </w:rPr>
              <w:endnoteReference w:id="5"/>
            </w:r>
            <w:r w:rsidRPr="000964B3">
              <w:rPr>
                <w:rFonts w:cs="Arial"/>
                <w:sz w:val="20"/>
                <w:szCs w:val="20"/>
              </w:rPr>
              <w:t xml:space="preserve"> </w:t>
            </w: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5692" w:type="dxa"/>
            <w:gridSpan w:val="8"/>
            <w:tcBorders>
              <w:top w:val="single" w:sz="4" w:space="0" w:color="auto"/>
              <w:left w:val="single" w:sz="4" w:space="0" w:color="auto"/>
              <w:bottom w:val="single" w:sz="4" w:space="0" w:color="auto"/>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Treaty of Paris bringing victory and</w:t>
            </w:r>
            <w:r w:rsidRPr="000964B3">
              <w:rPr>
                <w:rFonts w:cs="Arial"/>
                <w:b/>
                <w:bCs/>
                <w:sz w:val="20"/>
                <w:szCs w:val="20"/>
              </w:rPr>
              <w:t xml:space="preserve"> problems to solve</w:t>
            </w:r>
            <w:r w:rsidRPr="000964B3">
              <w:rPr>
                <w:rFonts w:cs="Arial"/>
                <w:sz w:val="20"/>
                <w:szCs w:val="20"/>
              </w:rPr>
              <w:t xml:space="preserve"> – and those Solutions will be ones from a </w:t>
            </w:r>
            <w:r w:rsidRPr="000964B3">
              <w:rPr>
                <w:rFonts w:cs="Arial"/>
                <w:i/>
                <w:iCs/>
                <w:sz w:val="20"/>
                <w:szCs w:val="20"/>
              </w:rPr>
              <w:t>British</w:t>
            </w:r>
            <w:r w:rsidRPr="000964B3">
              <w:rPr>
                <w:rFonts w:cs="Arial"/>
                <w:sz w:val="20"/>
                <w:szCs w:val="20"/>
              </w:rPr>
              <w:t xml:space="preserve"> perspective worldwide. Problems include:</w:t>
            </w:r>
          </w:p>
        </w:tc>
        <w:tc>
          <w:tcPr>
            <w:tcW w:w="100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3</w:t>
            </w:r>
          </w:p>
        </w:tc>
        <w:tc>
          <w:tcPr>
            <w:tcW w:w="829" w:type="dxa"/>
            <w:tcBorders>
              <w:top w:val="single" w:sz="4" w:space="0" w:color="auto"/>
              <w:left w:val="single" w:sz="4" w:space="0" w:color="auto"/>
              <w:bottom w:val="single" w:sz="4" w:space="0" w:color="auto"/>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Problem: I</w:t>
            </w:r>
            <w:r w:rsidRPr="000964B3">
              <w:rPr>
                <w:rFonts w:cs="Arial"/>
                <w:sz w:val="20"/>
                <w:szCs w:val="20"/>
                <w:highlight w:val="yellow"/>
              </w:rPr>
              <w:t>ndians to govern</w:t>
            </w:r>
          </w:p>
        </w:tc>
        <w:tc>
          <w:tcPr>
            <w:tcW w:w="956" w:type="dxa"/>
            <w:tcBorders>
              <w:top w:val="single" w:sz="4" w:space="0" w:color="auto"/>
              <w:left w:val="single" w:sz="4" w:space="0" w:color="auto"/>
              <w:bottom w:val="single" w:sz="4" w:space="0" w:color="auto"/>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Problems: French colonists and lands to govern. </w:t>
            </w:r>
            <w:r w:rsidRPr="000964B3">
              <w:rPr>
                <w:rFonts w:cs="Arial"/>
                <w:sz w:val="20"/>
                <w:szCs w:val="20"/>
                <w:highlight w:val="yellow"/>
              </w:rPr>
              <w:t>(</w:t>
            </w:r>
            <w:r w:rsidRPr="000964B3">
              <w:rPr>
                <w:rFonts w:cs="Arial"/>
                <w:b/>
                <w:bCs/>
                <w:sz w:val="20"/>
                <w:szCs w:val="20"/>
                <w:highlight w:val="yellow"/>
              </w:rPr>
              <w:t>doubles</w:t>
            </w:r>
            <w:r w:rsidRPr="000964B3">
              <w:rPr>
                <w:rFonts w:cs="Arial"/>
                <w:sz w:val="20"/>
                <w:szCs w:val="20"/>
                <w:highlight w:val="yellow"/>
              </w:rPr>
              <w:t xml:space="preserve"> British territory)</w:t>
            </w:r>
            <w:r w:rsidRPr="000964B3">
              <w:rPr>
                <w:rFonts w:cs="Arial"/>
                <w:sz w:val="20"/>
                <w:szCs w:val="20"/>
              </w:rPr>
              <w:t>.</w:t>
            </w:r>
          </w:p>
        </w:tc>
        <w:tc>
          <w:tcPr>
            <w:tcW w:w="718" w:type="dxa"/>
            <w:gridSpan w:val="2"/>
            <w:tcBorders>
              <w:top w:val="single" w:sz="4" w:space="0" w:color="auto"/>
              <w:left w:val="single" w:sz="4" w:space="0" w:color="auto"/>
              <w:bottom w:val="single" w:sz="4" w:space="0" w:color="auto"/>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Problem: Spanish Floridas to govern.</w:t>
            </w:r>
          </w:p>
        </w:tc>
        <w:tc>
          <w:tcPr>
            <w:tcW w:w="969" w:type="dxa"/>
            <w:gridSpan w:val="2"/>
            <w:tcBorders>
              <w:top w:val="single" w:sz="4" w:space="0" w:color="auto"/>
              <w:left w:val="single" w:sz="4" w:space="0" w:color="auto"/>
              <w:bottom w:val="single" w:sz="4" w:space="0" w:color="auto"/>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Problem: Increased British–colonist distrust.</w:t>
            </w:r>
          </w:p>
        </w:tc>
        <w:tc>
          <w:tcPr>
            <w:tcW w:w="1036" w:type="dxa"/>
            <w:tcBorders>
              <w:top w:val="single" w:sz="4" w:space="0" w:color="auto"/>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single" w:sz="4" w:space="0" w:color="auto"/>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Problem: Massive British debt </w:t>
            </w:r>
            <w:r w:rsidRPr="000964B3">
              <w:rPr>
                <w:rFonts w:cs="Arial"/>
                <w:b/>
                <w:bCs/>
                <w:sz w:val="20"/>
                <w:szCs w:val="20"/>
                <w:highlight w:val="yellow"/>
              </w:rPr>
              <w:t xml:space="preserve">(doubles </w:t>
            </w:r>
            <w:r w:rsidRPr="000964B3">
              <w:rPr>
                <w:rFonts w:cs="Arial"/>
                <w:sz w:val="20"/>
                <w:szCs w:val="20"/>
                <w:highlight w:val="yellow"/>
              </w:rPr>
              <w:t>the amount of national debt in 1754).</w:t>
            </w:r>
          </w:p>
        </w:tc>
        <w:tc>
          <w:tcPr>
            <w:tcW w:w="1005"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30"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George III tries to reestablish the power of the king.</w:t>
            </w: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b/>
                <w:sz w:val="20"/>
                <w:szCs w:val="20"/>
                <w:highlight w:val="magenta"/>
              </w:rPr>
              <w:t>New</w:t>
            </w:r>
            <w:r w:rsidRPr="000964B3">
              <w:rPr>
                <w:rFonts w:cs="Arial"/>
                <w:sz w:val="20"/>
                <w:szCs w:val="20"/>
              </w:rPr>
              <w:t xml:space="preserve"> British Prime Minister -the king’s man - George </w:t>
            </w:r>
            <w:r w:rsidRPr="000964B3">
              <w:rPr>
                <w:rFonts w:cs="Arial"/>
                <w:b/>
                <w:sz w:val="20"/>
                <w:szCs w:val="20"/>
              </w:rPr>
              <w:t>Grenville</w:t>
            </w:r>
          </w:p>
        </w:tc>
        <w:tc>
          <w:tcPr>
            <w:tcW w:w="100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3"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3"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24"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3</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Solution to Land and Indians: </w:t>
            </w:r>
            <w:r w:rsidRPr="000964B3">
              <w:rPr>
                <w:rFonts w:cs="Arial"/>
                <w:sz w:val="20"/>
                <w:szCs w:val="20"/>
                <w:highlight w:val="yellow"/>
              </w:rPr>
              <w:t>Proclamation Line of 1763</w:t>
            </w:r>
            <w:r w:rsidRPr="000964B3">
              <w:rPr>
                <w:rFonts w:cs="Arial"/>
                <w:sz w:val="20"/>
                <w:szCs w:val="20"/>
              </w:rPr>
              <w:t>.</w:t>
            </w: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3"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956"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r w:rsidRPr="000964B3">
              <w:rPr>
                <w:rFonts w:cs="Arial"/>
                <w:sz w:val="20"/>
                <w:szCs w:val="20"/>
              </w:rPr>
              <w:t xml:space="preserve"> </w:t>
            </w:r>
            <w:r w:rsidRPr="000964B3">
              <w:rPr>
                <w:rFonts w:cs="Arial"/>
                <w:sz w:val="20"/>
                <w:szCs w:val="20"/>
              </w:rPr>
              <w:sym w:font="Marlett" w:char="F034"/>
            </w: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3" w:type="dxa"/>
            <w:gridSpan w:val="3"/>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713"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4</w:t>
            </w: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Solutions to Debt: Sugar Act.- change to a tax for revenue</w:t>
            </w: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cyan"/>
              </w:rPr>
              <w:t>Boycott</w:t>
            </w:r>
            <w:r w:rsidRPr="000964B3">
              <w:rPr>
                <w:rStyle w:val="EndnoteReference"/>
                <w:rFonts w:cs="Arial"/>
                <w:sz w:val="20"/>
                <w:szCs w:val="20"/>
                <w:highlight w:val="cyan"/>
              </w:rPr>
              <w:endnoteReference w:id="6"/>
            </w:r>
            <w:r w:rsidRPr="000964B3">
              <w:rPr>
                <w:rFonts w:cs="Arial"/>
                <w:sz w:val="20"/>
                <w:szCs w:val="20"/>
              </w:rPr>
              <w:t xml:space="preserve"> of British goods begins.</w:t>
            </w: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3"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FYI: initially in Northern colonies, </w:t>
            </w:r>
            <w:r w:rsidRPr="000964B3">
              <w:rPr>
                <w:rFonts w:cs="Arial"/>
                <w:sz w:val="20"/>
                <w:szCs w:val="20"/>
                <w:highlight w:val="cyan"/>
              </w:rPr>
              <w:t>boycott</w:t>
            </w:r>
            <w:r w:rsidRPr="000964B3">
              <w:rPr>
                <w:rFonts w:cs="Arial"/>
                <w:sz w:val="20"/>
                <w:szCs w:val="20"/>
              </w:rPr>
              <w:t xml:space="preserve"> spreads because it works so well. </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3"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c>
          <w:tcPr>
            <w:tcW w:w="81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3"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24"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5</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Quartering Act </w:t>
            </w: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3"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yellow"/>
              </w:rPr>
              <w:t xml:space="preserve">Stamp Act- a </w:t>
            </w:r>
            <w:r w:rsidRPr="000964B3">
              <w:rPr>
                <w:rFonts w:cs="Arial"/>
                <w:b/>
                <w:sz w:val="20"/>
                <w:szCs w:val="20"/>
                <w:highlight w:val="yellow"/>
              </w:rPr>
              <w:t>traditional</w:t>
            </w:r>
            <w:r w:rsidRPr="000964B3">
              <w:rPr>
                <w:rFonts w:cs="Arial"/>
                <w:sz w:val="20"/>
                <w:szCs w:val="20"/>
                <w:highlight w:val="yellow"/>
              </w:rPr>
              <w:t xml:space="preserve"> tax for revenue in </w:t>
            </w:r>
            <w:r w:rsidRPr="000964B3">
              <w:rPr>
                <w:rFonts w:cs="Arial"/>
                <w:b/>
                <w:sz w:val="20"/>
                <w:szCs w:val="20"/>
                <w:highlight w:val="yellow"/>
              </w:rPr>
              <w:t>England</w:t>
            </w:r>
            <w:r w:rsidRPr="000964B3">
              <w:rPr>
                <w:rFonts w:cs="Arial"/>
                <w:b/>
                <w:sz w:val="20"/>
                <w:szCs w:val="20"/>
              </w:rPr>
              <w:t>.</w:t>
            </w:r>
            <w:r w:rsidRPr="000964B3">
              <w:rPr>
                <w:rStyle w:val="EndnoteReference"/>
                <w:rFonts w:cs="Arial"/>
                <w:b/>
                <w:sz w:val="20"/>
                <w:szCs w:val="20"/>
              </w:rPr>
              <w:endnoteReference w:id="7"/>
            </w:r>
          </w:p>
          <w:p w:rsidR="001E055F" w:rsidRPr="000964B3" w:rsidRDefault="006D6E67">
            <w:pPr>
              <w:pStyle w:val="Arttext"/>
              <w:rPr>
                <w:rFonts w:cs="Arial"/>
                <w:sz w:val="20"/>
                <w:szCs w:val="20"/>
              </w:rPr>
            </w:pPr>
            <w:r w:rsidRPr="000964B3">
              <w:rPr>
                <w:rFonts w:cs="Arial"/>
                <w:sz w:val="20"/>
                <w:szCs w:val="20"/>
              </w:rPr>
              <w:t>Currency Act</w:t>
            </w: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3"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24" w:type="dxa"/>
            <w:gridSpan w:val="2"/>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yellow"/>
              </w:rPr>
              <w:t>Sons of Liberty</w:t>
            </w:r>
            <w:r w:rsidRPr="000964B3">
              <w:rPr>
                <w:rFonts w:cs="Arial"/>
                <w:sz w:val="20"/>
                <w:szCs w:val="20"/>
              </w:rPr>
              <w:t xml:space="preserve"> – intimid-ation.</w:t>
            </w:r>
          </w:p>
        </w:tc>
        <w:tc>
          <w:tcPr>
            <w:tcW w:w="1349"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yellow"/>
              </w:rPr>
              <w:t>Stamp Act Congress</w:t>
            </w:r>
            <w:r w:rsidRPr="000964B3">
              <w:rPr>
                <w:rFonts w:cs="Arial"/>
                <w:sz w:val="20"/>
                <w:szCs w:val="20"/>
              </w:rPr>
              <w:t xml:space="preserve"> – and </w:t>
            </w:r>
            <w:r w:rsidRPr="000964B3">
              <w:rPr>
                <w:rFonts w:cs="Arial"/>
                <w:sz w:val="20"/>
                <w:szCs w:val="20"/>
                <w:highlight w:val="cyan"/>
              </w:rPr>
              <w:t>boycott.</w:t>
            </w:r>
            <w:r w:rsidRPr="000964B3">
              <w:rPr>
                <w:rFonts w:cs="Arial"/>
                <w:sz w:val="20"/>
                <w:szCs w:val="20"/>
              </w:rPr>
              <w:t xml:space="preserve"> – </w:t>
            </w:r>
            <w:r w:rsidRPr="000964B3">
              <w:rPr>
                <w:rFonts w:cs="Arial"/>
                <w:b/>
                <w:sz w:val="20"/>
                <w:szCs w:val="20"/>
                <w:highlight w:val="yellow"/>
              </w:rPr>
              <w:t>taxed by their own representatives</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3" w:type="dxa"/>
            <w:gridSpan w:val="3"/>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13"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24"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713"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24" w:type="dxa"/>
            <w:gridSpan w:val="2"/>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c>
          <w:tcPr>
            <w:tcW w:w="1349"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6</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b/>
                <w:sz w:val="20"/>
                <w:szCs w:val="20"/>
                <w:highlight w:val="magenta"/>
              </w:rPr>
              <w:t>New</w:t>
            </w:r>
            <w:r w:rsidRPr="000964B3">
              <w:rPr>
                <w:rFonts w:cs="Arial"/>
                <w:b/>
                <w:sz w:val="20"/>
                <w:szCs w:val="20"/>
              </w:rPr>
              <w:t xml:space="preserve"> </w:t>
            </w:r>
            <w:r w:rsidRPr="000964B3">
              <w:rPr>
                <w:rFonts w:cs="Arial"/>
                <w:sz w:val="20"/>
                <w:szCs w:val="20"/>
              </w:rPr>
              <w:t>British prime minister</w:t>
            </w: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Repeal the Declaratory Act.</w:t>
            </w: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b/>
                <w:sz w:val="20"/>
                <w:szCs w:val="20"/>
                <w:highlight w:val="magenta"/>
              </w:rPr>
              <w:t>New</w:t>
            </w:r>
            <w:r w:rsidRPr="000964B3">
              <w:rPr>
                <w:rFonts w:cs="Arial"/>
                <w:b/>
                <w:sz w:val="20"/>
                <w:szCs w:val="20"/>
              </w:rPr>
              <w:t xml:space="preserve"> </w:t>
            </w:r>
            <w:r w:rsidRPr="000964B3">
              <w:rPr>
                <w:rFonts w:cs="Arial"/>
                <w:sz w:val="20"/>
                <w:szCs w:val="20"/>
              </w:rPr>
              <w:t>British prime minister</w:t>
            </w:r>
          </w:p>
        </w:tc>
        <w:tc>
          <w:tcPr>
            <w:tcW w:w="1005"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Disbanding of New York assembly</w:t>
            </w: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cyan"/>
              </w:rPr>
              <w:t>Boycott</w:t>
            </w:r>
            <w:r w:rsidRPr="000964B3">
              <w:rPr>
                <w:rFonts w:cs="Arial"/>
                <w:sz w:val="20"/>
                <w:szCs w:val="20"/>
              </w:rPr>
              <w:t xml:space="preserve"> agreements continue</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3" w:type="dxa"/>
            <w:gridSpan w:val="3"/>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30" w:type="dxa"/>
            <w:gridSpan w:val="2"/>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730" w:type="dxa"/>
            <w:gridSpan w:val="2"/>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7</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Solution to Debt and the Protest: Townshend duties and their </w:t>
            </w:r>
            <w:r w:rsidRPr="000964B3">
              <w:rPr>
                <w:rFonts w:cs="Arial"/>
                <w:bCs/>
                <w:sz w:val="20"/>
                <w:szCs w:val="20"/>
              </w:rPr>
              <w:t>externa</w:t>
            </w:r>
            <w:r w:rsidRPr="000964B3">
              <w:rPr>
                <w:rFonts w:cs="Arial"/>
                <w:b/>
                <w:bCs/>
                <w:sz w:val="20"/>
                <w:szCs w:val="20"/>
              </w:rPr>
              <w:t>l</w:t>
            </w:r>
            <w:r w:rsidRPr="000964B3">
              <w:rPr>
                <w:rFonts w:cs="Arial"/>
                <w:sz w:val="20"/>
                <w:szCs w:val="20"/>
              </w:rPr>
              <w:t xml:space="preserve"> taxes (</w:t>
            </w:r>
            <w:r w:rsidRPr="000964B3">
              <w:rPr>
                <w:rFonts w:cs="Arial"/>
                <w:b/>
                <w:sz w:val="20"/>
                <w:szCs w:val="20"/>
              </w:rPr>
              <w:t>at the port</w:t>
            </w:r>
            <w:r w:rsidRPr="000964B3">
              <w:rPr>
                <w:rFonts w:cs="Arial"/>
                <w:sz w:val="20"/>
                <w:szCs w:val="20"/>
              </w:rPr>
              <w:t>) but still for revenue …</w:t>
            </w:r>
            <w:r w:rsidRPr="000964B3">
              <w:rPr>
                <w:rStyle w:val="EndnoteReference"/>
                <w:rFonts w:cs="Arial"/>
                <w:sz w:val="20"/>
                <w:szCs w:val="20"/>
              </w:rPr>
              <w:endnoteReference w:id="8"/>
            </w: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3" w:type="dxa"/>
            <w:gridSpan w:val="3"/>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cyan"/>
              </w:rPr>
              <w:t>Boycott</w:t>
            </w:r>
            <w:r w:rsidRPr="000964B3">
              <w:rPr>
                <w:rFonts w:cs="Arial"/>
                <w:sz w:val="20"/>
                <w:szCs w:val="20"/>
              </w:rPr>
              <w:t xml:space="preserve"> agreements continue</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r w:rsidRPr="000964B3">
              <w:rPr>
                <w:rFonts w:cs="Arial"/>
                <w:sz w:val="20"/>
                <w:szCs w:val="20"/>
              </w:rPr>
              <w:t xml:space="preserve"> </w:t>
            </w:r>
          </w:p>
        </w:tc>
        <w:tc>
          <w:tcPr>
            <w:tcW w:w="1184"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3" w:type="dxa"/>
            <w:gridSpan w:val="3"/>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30"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13" w:type="dxa"/>
            <w:gridSpan w:val="3"/>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730" w:type="dxa"/>
            <w:gridSpan w:val="2"/>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shd w:val="clear" w:color="auto" w:fill="CCFFFF"/>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125" w:type="dxa"/>
            <w:tcBorders>
              <w:top w:val="single" w:sz="4" w:space="0" w:color="auto"/>
              <w:left w:val="nil"/>
              <w:bottom w:val="nil"/>
              <w:right w:val="nil"/>
            </w:tcBorders>
            <w:tcMar>
              <w:top w:w="0" w:type="dxa"/>
              <w:left w:w="0" w:type="dxa"/>
              <w:bottom w:w="0" w:type="dxa"/>
              <w:right w:w="0" w:type="dxa"/>
            </w:tcMar>
          </w:tcPr>
          <w:p w:rsidR="001E055F" w:rsidRDefault="001E055F">
            <w:pPr>
              <w:pStyle w:val="Arttext"/>
              <w:jc w:val="center"/>
            </w:pPr>
          </w:p>
        </w:tc>
        <w:tc>
          <w:tcPr>
            <w:tcW w:w="829"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956"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718" w:type="dxa"/>
            <w:gridSpan w:val="2"/>
            <w:tcBorders>
              <w:top w:val="single" w:sz="4" w:space="0" w:color="auto"/>
              <w:left w:val="nil"/>
              <w:bottom w:val="nil"/>
              <w:right w:val="nil"/>
            </w:tcBorders>
          </w:tcPr>
          <w:p w:rsidR="001E055F" w:rsidRPr="000964B3" w:rsidRDefault="001E055F">
            <w:pPr>
              <w:pStyle w:val="Arttext"/>
              <w:rPr>
                <w:rFonts w:cs="Arial"/>
                <w:sz w:val="20"/>
                <w:szCs w:val="20"/>
              </w:rPr>
            </w:pPr>
          </w:p>
        </w:tc>
        <w:tc>
          <w:tcPr>
            <w:tcW w:w="969" w:type="dxa"/>
            <w:gridSpan w:val="2"/>
            <w:tcBorders>
              <w:top w:val="single" w:sz="4" w:space="0" w:color="auto"/>
              <w:left w:val="nil"/>
              <w:bottom w:val="nil"/>
              <w:right w:val="nil"/>
            </w:tcBorders>
          </w:tcPr>
          <w:p w:rsidR="001E055F" w:rsidRPr="000964B3" w:rsidRDefault="001E055F">
            <w:pPr>
              <w:pStyle w:val="Arttext"/>
              <w:rPr>
                <w:rFonts w:cs="Arial"/>
                <w:sz w:val="20"/>
                <w:szCs w:val="20"/>
              </w:rPr>
            </w:pPr>
          </w:p>
        </w:tc>
        <w:tc>
          <w:tcPr>
            <w:tcW w:w="1036"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1184"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1005"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1184"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698"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1036"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817"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813" w:type="dxa"/>
            <w:gridSpan w:val="3"/>
            <w:tcBorders>
              <w:top w:val="single" w:sz="4" w:space="0" w:color="auto"/>
              <w:left w:val="nil"/>
              <w:bottom w:val="nil"/>
              <w:right w:val="nil"/>
            </w:tcBorders>
          </w:tcPr>
          <w:p w:rsidR="001E055F" w:rsidRPr="000964B3" w:rsidRDefault="001E055F">
            <w:pPr>
              <w:pStyle w:val="Arttext"/>
              <w:rPr>
                <w:rFonts w:cs="Arial"/>
                <w:sz w:val="20"/>
                <w:szCs w:val="20"/>
              </w:rPr>
            </w:pPr>
          </w:p>
        </w:tc>
        <w:tc>
          <w:tcPr>
            <w:tcW w:w="730" w:type="dxa"/>
            <w:gridSpan w:val="2"/>
            <w:tcBorders>
              <w:top w:val="single" w:sz="4" w:space="0" w:color="auto"/>
              <w:left w:val="nil"/>
              <w:bottom w:val="nil"/>
              <w:right w:val="nil"/>
            </w:tcBorders>
          </w:tcPr>
          <w:p w:rsidR="001E055F" w:rsidRPr="000964B3" w:rsidRDefault="001E055F">
            <w:pPr>
              <w:pStyle w:val="Arttext"/>
              <w:rPr>
                <w:rFonts w:cs="Arial"/>
                <w:sz w:val="20"/>
                <w:szCs w:val="20"/>
              </w:rPr>
            </w:pPr>
          </w:p>
        </w:tc>
        <w:tc>
          <w:tcPr>
            <w:tcW w:w="807" w:type="dxa"/>
            <w:tcBorders>
              <w:top w:val="single" w:sz="4" w:space="0" w:color="auto"/>
              <w:left w:val="nil"/>
              <w:bottom w:val="nil"/>
              <w:right w:val="nil"/>
            </w:tcBorders>
          </w:tcPr>
          <w:p w:rsidR="001E055F" w:rsidRPr="000964B3" w:rsidRDefault="001E055F">
            <w:pPr>
              <w:pStyle w:val="Arttext"/>
              <w:rPr>
                <w:rFonts w:cs="Arial"/>
                <w:sz w:val="20"/>
                <w:szCs w:val="20"/>
              </w:rPr>
            </w:pPr>
          </w:p>
        </w:tc>
        <w:tc>
          <w:tcPr>
            <w:tcW w:w="1349" w:type="dxa"/>
            <w:tcBorders>
              <w:top w:val="single" w:sz="4" w:space="0" w:color="auto"/>
              <w:left w:val="nil"/>
              <w:bottom w:val="nil"/>
              <w:right w:val="nil"/>
            </w:tcBorders>
          </w:tcPr>
          <w:p w:rsidR="001E055F" w:rsidRPr="000964B3" w:rsidRDefault="001E055F">
            <w:pPr>
              <w:pStyle w:val="Arttext"/>
              <w:rPr>
                <w:rFonts w:cs="Arial"/>
                <w:sz w:val="20"/>
                <w:szCs w:val="20"/>
              </w:rPr>
            </w:pPr>
          </w:p>
        </w:tc>
      </w:tr>
      <w:tr w:rsidR="001E055F">
        <w:tc>
          <w:tcPr>
            <w:tcW w:w="125" w:type="dxa"/>
            <w:vMerge w:val="restart"/>
            <w:tcBorders>
              <w:top w:val="nil"/>
              <w:left w:val="nil"/>
              <w:bottom w:val="single" w:sz="4" w:space="0" w:color="auto"/>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0</w:t>
            </w: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b/>
                <w:sz w:val="20"/>
                <w:szCs w:val="20"/>
                <w:highlight w:val="magenta"/>
              </w:rPr>
              <w:t>New</w:t>
            </w:r>
            <w:r w:rsidRPr="000964B3">
              <w:rPr>
                <w:rFonts w:cs="Arial"/>
                <w:sz w:val="20"/>
                <w:szCs w:val="20"/>
              </w:rPr>
              <w:t xml:space="preserve"> British prime minister (Lord North)</w:t>
            </w:r>
          </w:p>
        </w:tc>
        <w:tc>
          <w:tcPr>
            <w:tcW w:w="100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Revere pamphlet</w:t>
            </w:r>
          </w:p>
        </w:tc>
        <w:tc>
          <w:tcPr>
            <w:tcW w:w="807"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Boston Massacre</w:t>
            </w:r>
            <w:r w:rsidRPr="000964B3">
              <w:rPr>
                <w:rStyle w:val="EndnoteReference"/>
                <w:rFonts w:cs="Arial"/>
                <w:sz w:val="20"/>
                <w:szCs w:val="20"/>
                <w:highlight w:val="yellow"/>
              </w:rPr>
              <w:endnoteReference w:id="9"/>
            </w: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0" w:type="auto"/>
            <w:vMerge/>
            <w:tcBorders>
              <w:top w:val="nil"/>
              <w:left w:val="nil"/>
              <w:bottom w:val="single" w:sz="4" w:space="0" w:color="auto"/>
              <w:right w:val="single" w:sz="4" w:space="0" w:color="auto"/>
            </w:tcBorders>
            <w:vAlign w:val="center"/>
            <w:hideMark/>
          </w:tcPr>
          <w:p w:rsidR="001E055F" w:rsidRDefault="001E055F">
            <w:pPr>
              <w:rPr>
                <w:sz w:val="16"/>
              </w:rP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92"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51" w:type="dxa"/>
            <w:gridSpan w:val="4"/>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07"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r w:rsidRPr="000964B3">
              <w:rPr>
                <w:rFonts w:cs="Arial"/>
                <w:sz w:val="20"/>
                <w:szCs w:val="20"/>
              </w:rPr>
              <w:sym w:font="Marlett" w:char="F034"/>
            </w:r>
          </w:p>
        </w:tc>
        <w:tc>
          <w:tcPr>
            <w:tcW w:w="1349"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2</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Committees of Correspondence.</w:t>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0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349"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Tea Act</w:t>
            </w: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Broadened support for </w:t>
            </w:r>
            <w:r w:rsidRPr="000964B3">
              <w:rPr>
                <w:rFonts w:cs="Arial"/>
                <w:sz w:val="20"/>
                <w:szCs w:val="20"/>
                <w:highlight w:val="cyan"/>
              </w:rPr>
              <w:t>boycott</w:t>
            </w:r>
            <w:r w:rsidRPr="000964B3">
              <w:rPr>
                <w:rFonts w:cs="Arial"/>
                <w:sz w:val="20"/>
                <w:szCs w:val="20"/>
              </w:rPr>
              <w:t>.</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792"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yellow"/>
              </w:rPr>
              <w:t>Boston Tea Part</w:t>
            </w:r>
            <w:r w:rsidRPr="000964B3">
              <w:rPr>
                <w:rFonts w:cs="Arial"/>
                <w:sz w:val="20"/>
                <w:szCs w:val="20"/>
              </w:rPr>
              <w:t>y</w:t>
            </w: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792"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p>
        </w:tc>
        <w:tc>
          <w:tcPr>
            <w:tcW w:w="134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4</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Intolerable (</w:t>
            </w:r>
            <w:r w:rsidRPr="000964B3">
              <w:rPr>
                <w:rFonts w:cs="Arial"/>
                <w:sz w:val="20"/>
                <w:szCs w:val="20"/>
                <w:highlight w:val="yellow"/>
              </w:rPr>
              <w:t>Coercive</w:t>
            </w:r>
            <w:r w:rsidRPr="000964B3">
              <w:rPr>
                <w:rFonts w:cs="Arial"/>
                <w:sz w:val="20"/>
                <w:szCs w:val="20"/>
              </w:rPr>
              <w:t>) Acts</w:t>
            </w:r>
            <w:r w:rsidRPr="000964B3">
              <w:rPr>
                <w:rStyle w:val="EndnoteReference"/>
                <w:rFonts w:cs="Arial"/>
                <w:sz w:val="20"/>
                <w:szCs w:val="20"/>
              </w:rPr>
              <w:endnoteReference w:id="10"/>
            </w: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highlight w:val="cyan"/>
              </w:rPr>
              <w:t xml:space="preserve">Boycott </w:t>
            </w:r>
            <w:r w:rsidRPr="000964B3">
              <w:rPr>
                <w:rFonts w:cs="Arial"/>
                <w:sz w:val="20"/>
                <w:szCs w:val="20"/>
              </w:rPr>
              <w:t>intensifies.</w:t>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r w:rsidRPr="000964B3">
              <w:rPr>
                <w:rFonts w:cs="Arial"/>
                <w:sz w:val="20"/>
                <w:szCs w:val="20"/>
              </w:rPr>
              <w:t xml:space="preserve"> </w:t>
            </w:r>
          </w:p>
        </w:tc>
        <w:tc>
          <w:tcPr>
            <w:tcW w:w="1184"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792"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05"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CCFFFF"/>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shd w:val="clear" w:color="auto" w:fill="CCFFFF"/>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Solution to French lands and colonists: Quebec Act</w:t>
            </w: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highlight w:val="yellow"/>
              </w:rPr>
            </w:pPr>
          </w:p>
          <w:p w:rsidR="001E055F" w:rsidRPr="000964B3" w:rsidRDefault="001E055F">
            <w:pPr>
              <w:pStyle w:val="Arttext"/>
              <w:rPr>
                <w:rFonts w:cs="Arial"/>
                <w:sz w:val="20"/>
                <w:szCs w:val="20"/>
                <w:highlight w:val="yellow"/>
              </w:rPr>
            </w:pPr>
          </w:p>
          <w:p w:rsidR="001E055F" w:rsidRPr="000964B3" w:rsidRDefault="006D6E67">
            <w:pPr>
              <w:pStyle w:val="Arttext"/>
              <w:rPr>
                <w:rFonts w:cs="Arial"/>
                <w:sz w:val="20"/>
                <w:szCs w:val="20"/>
              </w:rPr>
            </w:pPr>
            <w:r w:rsidRPr="000964B3">
              <w:rPr>
                <w:rFonts w:cs="Arial"/>
                <w:sz w:val="20"/>
                <w:szCs w:val="20"/>
              </w:rPr>
              <w:t>September - 1st Continental Congress.</w:t>
            </w: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r w:rsidRPr="000964B3">
              <w:rPr>
                <w:rFonts w:cs="Arial"/>
                <w:sz w:val="20"/>
                <w:szCs w:val="20"/>
              </w:rPr>
              <w:t xml:space="preserve"> </w:t>
            </w:r>
          </w:p>
        </w:tc>
        <w:tc>
          <w:tcPr>
            <w:tcW w:w="1184"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698"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036"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817"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792"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751" w:type="dxa"/>
            <w:gridSpan w:val="4"/>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1349"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r>
      <w:tr w:rsidR="001E055F">
        <w:tc>
          <w:tcPr>
            <w:tcW w:w="125" w:type="dxa"/>
            <w:vMerge w:val="restart"/>
            <w:tcBorders>
              <w:top w:val="single" w:sz="4" w:space="0" w:color="auto"/>
              <w:left w:val="nil"/>
              <w:bottom w:val="single" w:sz="4" w:space="0" w:color="FFFFFF"/>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5</w:t>
            </w:r>
          </w:p>
        </w:tc>
        <w:tc>
          <w:tcPr>
            <w:tcW w:w="82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single" w:sz="4" w:space="0" w:color="auto"/>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Feb -</w:t>
            </w:r>
            <w:r w:rsidRPr="000964B3">
              <w:rPr>
                <w:rFonts w:cs="Arial"/>
                <w:sz w:val="20"/>
                <w:szCs w:val="20"/>
                <w:highlight w:val="yellow"/>
              </w:rPr>
              <w:t>Conciliatory Proposals.</w:t>
            </w:r>
            <w:r w:rsidRPr="000964B3">
              <w:rPr>
                <w:rStyle w:val="EndnoteReference"/>
                <w:rFonts w:cs="Arial"/>
                <w:sz w:val="20"/>
                <w:szCs w:val="20"/>
                <w:highlight w:val="yellow"/>
              </w:rPr>
              <w:endnoteReference w:id="11"/>
            </w:r>
          </w:p>
        </w:tc>
        <w:tc>
          <w:tcPr>
            <w:tcW w:w="1184"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07"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349" w:type="dxa"/>
            <w:tcBorders>
              <w:top w:val="single" w:sz="4" w:space="0" w:color="auto"/>
              <w:left w:val="single" w:sz="4" w:space="0" w:color="auto"/>
              <w:bottom w:val="nil"/>
              <w:right w:val="single" w:sz="4" w:space="0" w:color="auto"/>
            </w:tcBorders>
          </w:tcPr>
          <w:p w:rsidR="001E055F" w:rsidRPr="000964B3" w:rsidRDefault="001E055F">
            <w:pPr>
              <w:pStyle w:val="Arttext"/>
              <w:rPr>
                <w:rFonts w:cs="Arial"/>
                <w:sz w:val="20"/>
                <w:szCs w:val="20"/>
              </w:rPr>
            </w:pPr>
          </w:p>
        </w:tc>
      </w:tr>
      <w:tr w:rsidR="001E055F">
        <w:tc>
          <w:tcPr>
            <w:tcW w:w="0" w:type="auto"/>
            <w:vMerge/>
            <w:tcBorders>
              <w:top w:val="single" w:sz="4" w:space="0" w:color="auto"/>
              <w:left w:val="nil"/>
              <w:bottom w:val="single" w:sz="4" w:space="0" w:color="FFFFFF"/>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4"/>
            </w:r>
            <w:r w:rsidRPr="000964B3">
              <w:rPr>
                <w:rFonts w:cs="Arial"/>
                <w:sz w:val="20"/>
                <w:szCs w:val="20"/>
              </w:rPr>
              <w:t>????</w:t>
            </w: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349"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r w:rsidRPr="000964B3">
              <w:rPr>
                <w:rFonts w:cs="Arial"/>
                <w:sz w:val="20"/>
                <w:szCs w:val="20"/>
              </w:rPr>
              <w:t>???</w:t>
            </w:r>
          </w:p>
        </w:tc>
      </w:tr>
      <w:tr w:rsidR="001E055F">
        <w:tc>
          <w:tcPr>
            <w:tcW w:w="125" w:type="dxa"/>
            <w:tcBorders>
              <w:top w:val="single" w:sz="4" w:space="0" w:color="FFFFFF"/>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hideMark/>
          </w:tcPr>
          <w:p w:rsidR="001E055F" w:rsidRPr="000964B3" w:rsidRDefault="006D6E67">
            <w:pPr>
              <w:pStyle w:val="Arttext"/>
              <w:rPr>
                <w:rFonts w:cs="Arial"/>
                <w:sz w:val="20"/>
                <w:szCs w:val="20"/>
              </w:rPr>
            </w:pPr>
            <w:r w:rsidRPr="000964B3">
              <w:rPr>
                <w:rFonts w:cs="Arial"/>
                <w:sz w:val="20"/>
                <w:szCs w:val="20"/>
              </w:rPr>
              <w:t xml:space="preserve">April-Lexington and Concord </w:t>
            </w:r>
          </w:p>
        </w:tc>
        <w:tc>
          <w:tcPr>
            <w:tcW w:w="134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highlight w:val="yellow"/>
              </w:rPr>
            </w:pPr>
          </w:p>
          <w:p w:rsidR="001E055F" w:rsidRPr="000964B3" w:rsidRDefault="001E055F">
            <w:pPr>
              <w:pStyle w:val="Arttext"/>
              <w:rPr>
                <w:rFonts w:cs="Arial"/>
                <w:sz w:val="20"/>
                <w:szCs w:val="20"/>
              </w:rPr>
            </w:pPr>
          </w:p>
          <w:p w:rsidR="001E055F" w:rsidRPr="000964B3" w:rsidRDefault="006D6E67">
            <w:pPr>
              <w:pStyle w:val="Arttext"/>
              <w:rPr>
                <w:rFonts w:cs="Arial"/>
                <w:sz w:val="20"/>
                <w:szCs w:val="20"/>
              </w:rPr>
            </w:pPr>
            <w:r w:rsidRPr="000964B3">
              <w:rPr>
                <w:rFonts w:cs="Arial"/>
                <w:sz w:val="20"/>
                <w:szCs w:val="20"/>
              </w:rPr>
              <w:t>July -</w:t>
            </w:r>
            <w:r w:rsidRPr="000964B3">
              <w:rPr>
                <w:rFonts w:cs="Arial"/>
                <w:sz w:val="20"/>
                <w:szCs w:val="20"/>
                <w:highlight w:val="yellow"/>
              </w:rPr>
              <w:t xml:space="preserve"> Olive Branch Petition</w:t>
            </w:r>
            <w:r w:rsidRPr="000964B3">
              <w:rPr>
                <w:rStyle w:val="EndnoteReference"/>
                <w:rFonts w:cs="Arial"/>
                <w:sz w:val="20"/>
                <w:szCs w:val="20"/>
                <w:highlight w:val="yellow"/>
              </w:rPr>
              <w:endnoteReference w:id="12"/>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r w:rsidRPr="000964B3">
              <w:rPr>
                <w:rFonts w:cs="Arial"/>
                <w:sz w:val="20"/>
                <w:szCs w:val="20"/>
              </w:rPr>
              <w:sym w:font="Marlett" w:char="F034"/>
            </w:r>
          </w:p>
        </w:tc>
        <w:tc>
          <w:tcPr>
            <w:tcW w:w="1349" w:type="dxa"/>
            <w:tcBorders>
              <w:top w:val="nil"/>
              <w:left w:val="single" w:sz="4" w:space="0" w:color="auto"/>
              <w:bottom w:val="nil"/>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6</w:t>
            </w:r>
          </w:p>
        </w:tc>
        <w:tc>
          <w:tcPr>
            <w:tcW w:w="829"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nil"/>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1005"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1184"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698"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1036"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817"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792"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751" w:type="dxa"/>
            <w:gridSpan w:val="4"/>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tc>
        <w:tc>
          <w:tcPr>
            <w:tcW w:w="807" w:type="dxa"/>
            <w:tcBorders>
              <w:top w:val="nil"/>
              <w:left w:val="single" w:sz="4" w:space="0" w:color="auto"/>
              <w:bottom w:val="nil"/>
              <w:right w:val="single" w:sz="4" w:space="0" w:color="auto"/>
            </w:tcBorders>
            <w:shd w:val="clear" w:color="auto" w:fill="FFFFFF"/>
            <w:hideMark/>
          </w:tcPr>
          <w:p w:rsidR="001E055F" w:rsidRPr="000964B3" w:rsidRDefault="006D6E67">
            <w:pPr>
              <w:pStyle w:val="Arttext"/>
              <w:rPr>
                <w:rFonts w:cs="Arial"/>
                <w:sz w:val="20"/>
                <w:szCs w:val="20"/>
              </w:rPr>
            </w:pPr>
            <w:r w:rsidRPr="000964B3">
              <w:rPr>
                <w:rFonts w:cs="Arial"/>
                <w:sz w:val="20"/>
                <w:szCs w:val="20"/>
              </w:rPr>
              <w:t>Jan -</w:t>
            </w:r>
            <w:r w:rsidRPr="000964B3">
              <w:rPr>
                <w:rFonts w:cs="Arial"/>
                <w:sz w:val="20"/>
                <w:szCs w:val="20"/>
                <w:highlight w:val="yellow"/>
              </w:rPr>
              <w:t>Thomas Paine</w:t>
            </w:r>
            <w:r w:rsidRPr="000964B3">
              <w:rPr>
                <w:rFonts w:cs="Arial"/>
                <w:sz w:val="20"/>
                <w:szCs w:val="20"/>
              </w:rPr>
              <w:t xml:space="preserve"> – </w:t>
            </w:r>
            <w:r w:rsidRPr="000964B3">
              <w:rPr>
                <w:rFonts w:cs="Arial"/>
                <w:i/>
                <w:sz w:val="20"/>
                <w:szCs w:val="20"/>
                <w:highlight w:val="yellow"/>
              </w:rPr>
              <w:t>Common Sense</w:t>
            </w:r>
            <w:r w:rsidRPr="000964B3">
              <w:rPr>
                <w:rFonts w:cs="Arial"/>
                <w:i/>
                <w:sz w:val="20"/>
                <w:szCs w:val="20"/>
              </w:rPr>
              <w:t xml:space="preserve"> –</w:t>
            </w:r>
            <w:r w:rsidRPr="000964B3">
              <w:rPr>
                <w:rFonts w:cs="Arial"/>
                <w:sz w:val="20"/>
                <w:szCs w:val="20"/>
              </w:rPr>
              <w:t>Blames the king</w:t>
            </w:r>
          </w:p>
        </w:tc>
        <w:tc>
          <w:tcPr>
            <w:tcW w:w="1349" w:type="dxa"/>
            <w:tcBorders>
              <w:top w:val="nil"/>
              <w:left w:val="single" w:sz="4" w:space="0" w:color="auto"/>
              <w:bottom w:val="nil"/>
              <w:right w:val="single" w:sz="4" w:space="0" w:color="auto"/>
            </w:tcBorders>
            <w:shd w:val="clear" w:color="auto" w:fill="FFFFFF"/>
          </w:tcPr>
          <w:p w:rsidR="001E055F" w:rsidRPr="000964B3" w:rsidRDefault="001E055F">
            <w:pPr>
              <w:pStyle w:val="Arttext"/>
              <w:rPr>
                <w:rFonts w:cs="Arial"/>
                <w:sz w:val="20"/>
                <w:szCs w:val="20"/>
              </w:rPr>
            </w:pPr>
          </w:p>
          <w:p w:rsidR="001E055F" w:rsidRPr="000964B3" w:rsidRDefault="001E055F">
            <w:pPr>
              <w:pStyle w:val="Arttext"/>
              <w:rPr>
                <w:rFonts w:cs="Arial"/>
                <w:sz w:val="20"/>
                <w:szCs w:val="20"/>
              </w:rPr>
            </w:pPr>
          </w:p>
          <w:p w:rsidR="001E055F" w:rsidRPr="000964B3" w:rsidRDefault="006D6E67">
            <w:pPr>
              <w:pStyle w:val="Arttext"/>
              <w:rPr>
                <w:rFonts w:cs="Arial"/>
                <w:sz w:val="20"/>
                <w:szCs w:val="20"/>
              </w:rPr>
            </w:pPr>
            <w:r w:rsidRPr="000964B3">
              <w:rPr>
                <w:rFonts w:cs="Arial"/>
                <w:sz w:val="20"/>
                <w:szCs w:val="20"/>
              </w:rPr>
              <w:t>Jefferson/others</w:t>
            </w:r>
            <w:r w:rsidRPr="000964B3">
              <w:rPr>
                <w:rStyle w:val="EndnoteReference"/>
                <w:rFonts w:cs="Arial"/>
                <w:sz w:val="20"/>
                <w:szCs w:val="20"/>
              </w:rPr>
              <w:endnoteReference w:id="13"/>
            </w:r>
            <w:r w:rsidRPr="000964B3">
              <w:rPr>
                <w:rFonts w:cs="Arial"/>
                <w:sz w:val="20"/>
                <w:szCs w:val="20"/>
              </w:rPr>
              <w:t>.</w:t>
            </w:r>
          </w:p>
          <w:p w:rsidR="001E055F" w:rsidRPr="000964B3" w:rsidRDefault="006D6E67">
            <w:pPr>
              <w:pStyle w:val="Arttext"/>
              <w:rPr>
                <w:rFonts w:cs="Arial"/>
                <w:sz w:val="20"/>
                <w:szCs w:val="20"/>
              </w:rPr>
            </w:pPr>
            <w:r w:rsidRPr="000964B3">
              <w:rPr>
                <w:rFonts w:cs="Arial"/>
                <w:sz w:val="20"/>
                <w:szCs w:val="20"/>
              </w:rPr>
              <w:t>July –</w:t>
            </w:r>
            <w:r w:rsidRPr="000964B3">
              <w:rPr>
                <w:rFonts w:cs="Arial"/>
                <w:sz w:val="20"/>
                <w:szCs w:val="20"/>
                <w:highlight w:val="yellow"/>
              </w:rPr>
              <w:t>Declaration of Independence</w:t>
            </w:r>
            <w:r w:rsidRPr="000964B3">
              <w:rPr>
                <w:rFonts w:cs="Arial"/>
                <w:sz w:val="20"/>
                <w:szCs w:val="20"/>
              </w:rPr>
              <w:t>- blames the king; asserts rights of “life, liberty, and pursuit of happiness,” and claims powers that “Independent States may of right do.”</w:t>
            </w: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56" w:type="dxa"/>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718"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969" w:type="dxa"/>
            <w:gridSpan w:val="2"/>
            <w:tcBorders>
              <w:top w:val="nil"/>
              <w:left w:val="single" w:sz="4" w:space="0" w:color="auto"/>
              <w:bottom w:val="single" w:sz="4" w:space="0" w:color="auto"/>
              <w:right w:val="single" w:sz="4" w:space="0" w:color="auto"/>
            </w:tcBorders>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FFFFFF"/>
          </w:tcPr>
          <w:p w:rsidR="001E055F" w:rsidRPr="000964B3" w:rsidRDefault="001E055F">
            <w:pPr>
              <w:pStyle w:val="Arttext"/>
              <w:rPr>
                <w:rFonts w:cs="Arial"/>
                <w:sz w:val="20"/>
                <w:szCs w:val="20"/>
              </w:rPr>
            </w:pPr>
          </w:p>
        </w:tc>
        <w:tc>
          <w:tcPr>
            <w:tcW w:w="1184" w:type="dxa"/>
            <w:tcBorders>
              <w:top w:val="nil"/>
              <w:left w:val="single" w:sz="4" w:space="0" w:color="auto"/>
              <w:bottom w:val="single" w:sz="4" w:space="0" w:color="auto"/>
              <w:right w:val="single" w:sz="4" w:space="0" w:color="auto"/>
            </w:tcBorders>
            <w:shd w:val="clear" w:color="auto" w:fill="FFFFFF"/>
          </w:tcPr>
          <w:p w:rsidR="001E055F" w:rsidRPr="000964B3" w:rsidRDefault="001E055F">
            <w:pPr>
              <w:pStyle w:val="Arttext"/>
              <w:rPr>
                <w:rFonts w:cs="Arial"/>
                <w:sz w:val="20"/>
                <w:szCs w:val="20"/>
              </w:rPr>
            </w:pPr>
          </w:p>
        </w:tc>
        <w:tc>
          <w:tcPr>
            <w:tcW w:w="1005"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5"/>
            </w:r>
          </w:p>
        </w:tc>
        <w:tc>
          <w:tcPr>
            <w:tcW w:w="1184"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698"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1036"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817"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792" w:type="dxa"/>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751" w:type="dxa"/>
            <w:gridSpan w:val="4"/>
            <w:tcBorders>
              <w:top w:val="nil"/>
              <w:left w:val="single" w:sz="4" w:space="0" w:color="auto"/>
              <w:bottom w:val="single" w:sz="4" w:space="0" w:color="auto"/>
              <w:right w:val="single" w:sz="4" w:space="0" w:color="auto"/>
            </w:tcBorders>
            <w:shd w:val="clear" w:color="auto" w:fill="FFFF99"/>
          </w:tcPr>
          <w:p w:rsidR="001E055F" w:rsidRPr="000964B3" w:rsidRDefault="001E055F">
            <w:pPr>
              <w:pStyle w:val="Arttext"/>
              <w:rPr>
                <w:rFonts w:cs="Arial"/>
                <w:sz w:val="20"/>
                <w:szCs w:val="20"/>
              </w:rPr>
            </w:pPr>
          </w:p>
        </w:tc>
        <w:tc>
          <w:tcPr>
            <w:tcW w:w="807"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r w:rsidRPr="000964B3">
              <w:rPr>
                <w:rFonts w:cs="Arial"/>
                <w:sz w:val="20"/>
                <w:szCs w:val="20"/>
              </w:rPr>
              <w:sym w:font="Marlett" w:char="F034"/>
            </w:r>
          </w:p>
        </w:tc>
        <w:tc>
          <w:tcPr>
            <w:tcW w:w="1349" w:type="dxa"/>
            <w:tcBorders>
              <w:top w:val="nil"/>
              <w:left w:val="single" w:sz="4" w:space="0" w:color="auto"/>
              <w:bottom w:val="single" w:sz="4" w:space="0" w:color="auto"/>
              <w:right w:val="single" w:sz="4" w:space="0" w:color="auto"/>
            </w:tcBorders>
            <w:shd w:val="clear" w:color="auto" w:fill="FFFF99"/>
            <w:hideMark/>
          </w:tcPr>
          <w:p w:rsidR="001E055F" w:rsidRPr="000964B3" w:rsidRDefault="006D6E67">
            <w:pPr>
              <w:pStyle w:val="Arttext"/>
              <w:rPr>
                <w:rFonts w:cs="Arial"/>
                <w:sz w:val="20"/>
                <w:szCs w:val="20"/>
              </w:rPr>
            </w:pPr>
            <w:r w:rsidRPr="000964B3">
              <w:rPr>
                <w:rFonts w:cs="Arial"/>
                <w:sz w:val="20"/>
                <w:szCs w:val="20"/>
              </w:rPr>
              <w:sym w:font="Marlett" w:char="F033"/>
            </w:r>
          </w:p>
        </w:tc>
      </w:tr>
    </w:tbl>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tbl>
      <w:tblPr>
        <w:tblW w:w="0" w:type="auto"/>
        <w:tblInd w:w="-18" w:type="dxa"/>
        <w:tblLook w:val="04A0" w:firstRow="1" w:lastRow="0" w:firstColumn="1" w:lastColumn="0" w:noHBand="0" w:noVBand="1"/>
      </w:tblPr>
      <w:tblGrid>
        <w:gridCol w:w="14580"/>
      </w:tblGrid>
      <w:tr w:rsidR="001E055F">
        <w:tc>
          <w:tcPr>
            <w:tcW w:w="14580" w:type="dxa"/>
            <w:hideMark/>
          </w:tcPr>
          <w:p w:rsidR="001E055F" w:rsidRDefault="006D6E67">
            <w:pPr>
              <w:pStyle w:val="Heading2"/>
              <w:rPr>
                <w:rFonts w:eastAsia="Times New Roman"/>
              </w:rPr>
            </w:pPr>
            <w:r>
              <w:br w:type="page"/>
            </w:r>
            <w:r>
              <w:rPr>
                <w:rFonts w:eastAsia="Times New Roman"/>
              </w:rPr>
              <w:t xml:space="preserve">How to Use This Study Tool: </w:t>
            </w:r>
            <w:bookmarkStart w:id="1" w:name="_How_to_Use"/>
            <w:bookmarkStart w:id="2" w:name="_How_to_Use_1"/>
            <w:bookmarkEnd w:id="1"/>
            <w:bookmarkEnd w:id="2"/>
            <w:r>
              <w:rPr>
                <w:rFonts w:eastAsia="Times New Roman"/>
              </w:rPr>
              <w:t>An Example</w:t>
            </w:r>
          </w:p>
          <w:p w:rsidR="001E055F" w:rsidRDefault="006D6E67">
            <w:pPr>
              <w:rPr>
                <w:color w:val="000000"/>
              </w:rPr>
            </w:pPr>
            <w:r>
              <w:t xml:space="preserve">This example show how to use the arrows to think about interconnections: The first use shows an </w:t>
            </w:r>
            <w:r>
              <w:sym w:font="Marlett" w:char="F034"/>
            </w:r>
            <w:r>
              <w:t xml:space="preserve"> under “Navigation Acts of the 1600s…” and then an </w:t>
            </w:r>
            <w:r>
              <w:sym w:font="Marlett" w:char="F035"/>
            </w:r>
            <w:r>
              <w:t xml:space="preserve"> under both the “Interests – North” and “Interests </w:t>
            </w:r>
            <w:r>
              <w:sym w:font="Symbol" w:char="F02D"/>
            </w:r>
            <w:r>
              <w:t xml:space="preserve"> South” because both North and South were changed by this policy.</w:t>
            </w:r>
          </w:p>
        </w:tc>
      </w:tr>
    </w:tbl>
    <w:p w:rsidR="001E055F" w:rsidRDefault="001E055F">
      <w:pPr>
        <w:rPr>
          <w:sz w:val="12"/>
          <w:szCs w:val="12"/>
        </w:rPr>
      </w:pPr>
    </w:p>
    <w:p w:rsidR="001E055F" w:rsidRDefault="001E055F">
      <w:pPr>
        <w:rPr>
          <w:sz w:val="12"/>
          <w:szCs w:val="12"/>
        </w:rPr>
      </w:pPr>
    </w:p>
    <w:p w:rsidR="001E055F" w:rsidRDefault="001E055F">
      <w:pPr>
        <w:rPr>
          <w:sz w:val="12"/>
          <w:szCs w:val="12"/>
        </w:rPr>
      </w:pPr>
    </w:p>
    <w:tbl>
      <w:tblPr>
        <w:tblW w:w="0" w:type="auto"/>
        <w:tblInd w:w="288" w:type="dxa"/>
        <w:tblLook w:val="04A0" w:firstRow="1" w:lastRow="0" w:firstColumn="1" w:lastColumn="0" w:noHBand="0" w:noVBand="1"/>
      </w:tblPr>
      <w:tblGrid>
        <w:gridCol w:w="8694"/>
      </w:tblGrid>
      <w:tr w:rsidR="001E055F">
        <w:tc>
          <w:tcPr>
            <w:tcW w:w="8694" w:type="dxa"/>
            <w:hideMark/>
          </w:tcPr>
          <w:p w:rsidR="001E055F" w:rsidRDefault="006D6E67">
            <w:pPr>
              <w:jc w:val="center"/>
            </w:pPr>
            <w:r>
              <w:rPr>
                <w:sz w:val="16"/>
              </w:rPr>
              <w:t>C</w:t>
            </w:r>
            <w:r w:rsidR="008A4B17">
              <w:rPr>
                <w:sz w:val="16"/>
              </w:rPr>
              <w:t>opyright C. J. Bibus, Ed.D. 2020</w:t>
            </w:r>
          </w:p>
        </w:tc>
      </w:tr>
    </w:tbl>
    <w:p w:rsidR="001E055F" w:rsidRDefault="001E055F">
      <w:pPr>
        <w:rPr>
          <w:sz w:val="4"/>
          <w:szCs w:val="4"/>
        </w:rPr>
      </w:pPr>
    </w:p>
    <w:tbl>
      <w:tblPr>
        <w:tblW w:w="0" w:type="auto"/>
        <w:tblLook w:val="04A0" w:firstRow="1" w:lastRow="0" w:firstColumn="1" w:lastColumn="0" w:noHBand="0" w:noVBand="1"/>
      </w:tblPr>
      <w:tblGrid>
        <w:gridCol w:w="2322"/>
        <w:gridCol w:w="6534"/>
      </w:tblGrid>
      <w:tr w:rsidR="001E055F">
        <w:tc>
          <w:tcPr>
            <w:tcW w:w="2322" w:type="dxa"/>
            <w:hideMark/>
          </w:tcPr>
          <w:p w:rsidR="001E055F" w:rsidRDefault="006D6E67">
            <w:pPr>
              <w:rPr>
                <w:b/>
                <w:bCs/>
              </w:rPr>
            </w:pPr>
            <w:r>
              <w:rPr>
                <w:b/>
                <w:bCs/>
              </w:rPr>
              <w:t>WCJC Department:</w:t>
            </w:r>
          </w:p>
        </w:tc>
        <w:tc>
          <w:tcPr>
            <w:tcW w:w="6534" w:type="dxa"/>
            <w:hideMark/>
          </w:tcPr>
          <w:p w:rsidR="001E055F" w:rsidRDefault="006D6E67">
            <w:r>
              <w:t>History – Dr. Bibus</w:t>
            </w:r>
          </w:p>
        </w:tc>
      </w:tr>
      <w:tr w:rsidR="001E055F">
        <w:tc>
          <w:tcPr>
            <w:tcW w:w="2322" w:type="dxa"/>
            <w:hideMark/>
          </w:tcPr>
          <w:p w:rsidR="001E055F" w:rsidRDefault="006D6E67">
            <w:pPr>
              <w:rPr>
                <w:b/>
                <w:bCs/>
              </w:rPr>
            </w:pPr>
            <w:r>
              <w:rPr>
                <w:b/>
                <w:bCs/>
              </w:rPr>
              <w:t>Contact Information:</w:t>
            </w:r>
          </w:p>
        </w:tc>
        <w:tc>
          <w:tcPr>
            <w:tcW w:w="6534" w:type="dxa"/>
            <w:hideMark/>
          </w:tcPr>
          <w:p w:rsidR="001E055F" w:rsidRDefault="006D6E67">
            <w:r>
              <w:t xml:space="preserve">281.239.1577 or </w:t>
            </w:r>
            <w:hyperlink r:id="rId9" w:history="1">
              <w:r>
                <w:rPr>
                  <w:rStyle w:val="Hyperlink"/>
                </w:rPr>
                <w:t>bibusc@wcjc.edu</w:t>
              </w:r>
            </w:hyperlink>
            <w:r>
              <w:t xml:space="preserve"> </w:t>
            </w:r>
          </w:p>
        </w:tc>
      </w:tr>
      <w:tr w:rsidR="001E055F">
        <w:tc>
          <w:tcPr>
            <w:tcW w:w="2322" w:type="dxa"/>
            <w:hideMark/>
          </w:tcPr>
          <w:p w:rsidR="001E055F" w:rsidRDefault="006D6E67">
            <w:pPr>
              <w:rPr>
                <w:b/>
                <w:bCs/>
              </w:rPr>
            </w:pPr>
            <w:r>
              <w:rPr>
                <w:b/>
                <w:bCs/>
              </w:rPr>
              <w:t>Last Updated:</w:t>
            </w:r>
          </w:p>
        </w:tc>
        <w:tc>
          <w:tcPr>
            <w:tcW w:w="6534" w:type="dxa"/>
            <w:hideMark/>
          </w:tcPr>
          <w:p w:rsidR="001E055F" w:rsidRDefault="006D6E67" w:rsidP="002F3B1A">
            <w:r>
              <w:t>20</w:t>
            </w:r>
            <w:r w:rsidR="002F3B1A">
              <w:t>20</w:t>
            </w:r>
          </w:p>
        </w:tc>
      </w:tr>
      <w:tr w:rsidR="001E055F">
        <w:tc>
          <w:tcPr>
            <w:tcW w:w="2322" w:type="dxa"/>
            <w:hideMark/>
          </w:tcPr>
          <w:p w:rsidR="001E055F" w:rsidRDefault="006D6E67">
            <w:pPr>
              <w:rPr>
                <w:b/>
                <w:bCs/>
              </w:rPr>
            </w:pPr>
            <w:r>
              <w:rPr>
                <w:b/>
                <w:bCs/>
              </w:rPr>
              <w:t>WCJC Home:</w:t>
            </w:r>
          </w:p>
        </w:tc>
        <w:tc>
          <w:tcPr>
            <w:tcW w:w="6534" w:type="dxa"/>
            <w:hideMark/>
          </w:tcPr>
          <w:p w:rsidR="001E055F" w:rsidRDefault="0094221B">
            <w:hyperlink r:id="rId10" w:history="1">
              <w:r w:rsidR="006D6E67">
                <w:rPr>
                  <w:rStyle w:val="Hyperlink"/>
                </w:rPr>
                <w:t>http://www.wcjc.edu/</w:t>
              </w:r>
            </w:hyperlink>
          </w:p>
        </w:tc>
      </w:tr>
    </w:tbl>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6D6E67" w:rsidRDefault="006D6E67">
      <w:pPr>
        <w:rPr>
          <w:sz w:val="4"/>
          <w:szCs w:val="4"/>
        </w:rPr>
      </w:pPr>
    </w:p>
    <w:sectPr w:rsidR="006D6E67">
      <w:footerReference w:type="default" r:id="rId11"/>
      <w:endnotePr>
        <w:numFmt w:val="decimal"/>
      </w:endnotePr>
      <w:pgSz w:w="15840" w:h="12240" w:orient="landscape"/>
      <w:pgMar w:top="72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1B" w:rsidRDefault="0094221B">
      <w:r>
        <w:separator/>
      </w:r>
    </w:p>
  </w:endnote>
  <w:endnote w:type="continuationSeparator" w:id="0">
    <w:p w:rsidR="0094221B" w:rsidRDefault="0094221B">
      <w:r>
        <w:continuationSeparator/>
      </w:r>
    </w:p>
  </w:endnote>
  <w:endnote w:id="1">
    <w:p w:rsidR="001E055F" w:rsidRDefault="006D6E67">
      <w:pPr>
        <w:pStyle w:val="EndnoteText"/>
      </w:pPr>
      <w:r>
        <w:rPr>
          <w:rStyle w:val="EndnoteReference"/>
        </w:rPr>
        <w:endnoteRef/>
      </w:r>
      <w:r>
        <w:t xml:space="preserve"> Mercantile regulation is also called mercantilism. Under mercantilism, taxes were not intended to provide money to the government, but to regulate trade.</w:t>
      </w:r>
      <w:r>
        <w:br/>
      </w:r>
    </w:p>
  </w:endnote>
  <w:endnote w:id="2">
    <w:p w:rsidR="001E055F" w:rsidRDefault="006D6E67">
      <w:pPr>
        <w:pStyle w:val="EndnoteText"/>
      </w:pPr>
      <w:r>
        <w:rPr>
          <w:rStyle w:val="EndnoteReference"/>
        </w:rPr>
        <w:endnoteRef/>
      </w:r>
      <w:r>
        <w:t xml:space="preserve"> This is new form of government that evolves because the new king from Germany neither spoke English nor was accustomed to English politics. The leader of the political party that won in Parliamentary elections became the leader of the executive branch.  The person’s title was (and still is) prime minister. He (or she in this century) held office until his party lost the elections, and then the leader of the winning political party became the </w:t>
      </w:r>
      <w:r>
        <w:rPr>
          <w:rFonts w:cs="Arial"/>
          <w:bCs/>
          <w:iCs/>
          <w:highlight w:val="magenta"/>
        </w:rPr>
        <w:t xml:space="preserve">new </w:t>
      </w:r>
      <w:r>
        <w:t>prime minister.</w:t>
      </w:r>
      <w:r>
        <w:br/>
        <w:t>That is why there are so many instances in the chronology of the words “</w:t>
      </w:r>
      <w:r>
        <w:rPr>
          <w:rFonts w:cs="Arial"/>
          <w:bCs/>
          <w:iCs/>
          <w:sz w:val="18"/>
          <w:szCs w:val="18"/>
          <w:highlight w:val="magenta"/>
        </w:rPr>
        <w:t>New</w:t>
      </w:r>
      <w:r>
        <w:t xml:space="preserve"> prime minister.”</w:t>
      </w:r>
      <w:r>
        <w:br/>
      </w:r>
    </w:p>
  </w:endnote>
  <w:endnote w:id="3">
    <w:p w:rsidR="001E055F" w:rsidRDefault="006D6E67">
      <w:pPr>
        <w:pStyle w:val="EndnoteText"/>
      </w:pPr>
      <w:r>
        <w:rPr>
          <w:rStyle w:val="EndnoteReference"/>
        </w:rPr>
        <w:endnoteRef/>
      </w:r>
      <w:r>
        <w:t xml:space="preserve"> William Pitt, the highly successful prime minister during the Seven Years War, called Grenville’s view of virtual representation as “the most contemptable idea that ever entered into the head of a man.” </w:t>
      </w:r>
      <w:r>
        <w:br/>
      </w:r>
    </w:p>
  </w:endnote>
  <w:endnote w:id="4">
    <w:p w:rsidR="001E055F" w:rsidRDefault="006D6E67">
      <w:pPr>
        <w:pStyle w:val="EndnoteText"/>
      </w:pPr>
      <w:r>
        <w:rPr>
          <w:rStyle w:val="EndnoteReference"/>
        </w:rPr>
        <w:endnoteRef/>
      </w:r>
      <w:r>
        <w:t xml:space="preserve"> The URL for this link is </w:t>
      </w:r>
      <w:hyperlink r:id="rId1" w:history="1">
        <w:r>
          <w:rPr>
            <w:rStyle w:val="Hyperlink"/>
          </w:rPr>
          <w:t>http://www.cjbibus.com/1739_1763_Wars_for_Empire.htm</w:t>
        </w:r>
      </w:hyperlink>
      <w:r>
        <w:t xml:space="preserve"> </w:t>
      </w:r>
      <w:r>
        <w:br/>
      </w:r>
    </w:p>
  </w:endnote>
  <w:endnote w:id="5">
    <w:p w:rsidR="001E055F" w:rsidRDefault="006D6E67">
      <w:pPr>
        <w:pStyle w:val="EndnoteText"/>
      </w:pPr>
      <w:r>
        <w:rPr>
          <w:rStyle w:val="EndnoteReference"/>
        </w:rPr>
        <w:endnoteRef/>
      </w:r>
      <w:r>
        <w:t xml:space="preserve"> For colony-wide dealing with the Indians, proposed by Benjamin Franklin but not approved by any colony.</w:t>
      </w:r>
      <w:r>
        <w:br/>
      </w:r>
    </w:p>
  </w:endnote>
  <w:endnote w:id="6">
    <w:p w:rsidR="001E055F" w:rsidRDefault="006D6E67">
      <w:pPr>
        <w:pStyle w:val="EndnoteText"/>
      </w:pPr>
      <w:r>
        <w:rPr>
          <w:rStyle w:val="EndnoteReference"/>
        </w:rPr>
        <w:endnoteRef/>
      </w:r>
      <w:r>
        <w:t xml:space="preserve"> This uses the word </w:t>
      </w:r>
      <w:r>
        <w:rPr>
          <w:i/>
          <w:iCs/>
        </w:rPr>
        <w:t>boycott</w:t>
      </w:r>
      <w:r>
        <w:t xml:space="preserve"> for the non-importation measures taken by the colonists; however, the word </w:t>
      </w:r>
      <w:r>
        <w:rPr>
          <w:i/>
          <w:iCs/>
        </w:rPr>
        <w:t>boycott</w:t>
      </w:r>
      <w:r>
        <w:t xml:space="preserve"> was not coined until the 1880s. </w:t>
      </w:r>
      <w:r>
        <w:rPr>
          <w:i/>
          <w:iCs/>
        </w:rPr>
        <w:t xml:space="preserve">Webster’s Encyclopedic Unabridged Dictionary </w:t>
      </w:r>
      <w:r>
        <w:t>states: “[after Charles C. Boycott., English estate manager in Ireland, against whom nonviolent coercive tactics were used in 1880.”</w:t>
      </w:r>
      <w:r>
        <w:br/>
      </w:r>
    </w:p>
  </w:endnote>
  <w:endnote w:id="7">
    <w:p w:rsidR="001E055F" w:rsidRDefault="006D6E67">
      <w:pPr>
        <w:pStyle w:val="EndnoteText"/>
      </w:pPr>
      <w:r>
        <w:rPr>
          <w:rStyle w:val="EndnoteReference"/>
        </w:rPr>
        <w:endnoteRef/>
      </w:r>
      <w:r>
        <w:t xml:space="preserve"> A traditional tax in England, the British did not expect a problem. The Stamp Act, however, was a shock to the colonists for several reasons. Unlike prior taxes, it was not about trade at the port. It was collected </w:t>
      </w:r>
      <w:r>
        <w:rPr>
          <w:b/>
        </w:rPr>
        <w:t>in</w:t>
      </w:r>
      <w:r>
        <w:t xml:space="preserve"> the colony, a new event. It also offended many classes of people. It required a stamp (embossed in a document) as proof that the colonist had paid the appropriate tax. For example, those colonists who loved their newspapers resented the required stamp, and those with money resented a stamp to show that a tax was paid on sale of lands. Not paying that tax could result in forfeiture.</w:t>
      </w:r>
      <w:r>
        <w:br/>
      </w:r>
    </w:p>
  </w:endnote>
  <w:endnote w:id="8">
    <w:p w:rsidR="001E055F" w:rsidRDefault="006D6E67">
      <w:pPr>
        <w:pStyle w:val="EndnoteText"/>
      </w:pPr>
      <w:r>
        <w:rPr>
          <w:rStyle w:val="EndnoteReference"/>
        </w:rPr>
        <w:endnoteRef/>
      </w:r>
      <w:r>
        <w:t xml:space="preserve"> The plan called for the revenue to fund governors—thus making them no longer dependent on colonial legislatures.</w:t>
      </w:r>
      <w:r>
        <w:br/>
      </w:r>
    </w:p>
  </w:endnote>
  <w:endnote w:id="9">
    <w:p w:rsidR="001E055F" w:rsidRDefault="006D6E67">
      <w:pPr>
        <w:pStyle w:val="EndnoteText"/>
      </w:pPr>
      <w:r>
        <w:rPr>
          <w:rStyle w:val="EndnoteReference"/>
        </w:rPr>
        <w:endnoteRef/>
      </w:r>
      <w:r>
        <w:t xml:space="preserve"> Caution about the word </w:t>
      </w:r>
      <w:r>
        <w:rPr>
          <w:i/>
        </w:rPr>
        <w:t>massacre</w:t>
      </w:r>
      <w:r>
        <w:t xml:space="preserve">. It is </w:t>
      </w:r>
      <w:r w:rsidR="008A4B17">
        <w:t>“</w:t>
      </w:r>
      <w:r w:rsidR="008A4B17" w:rsidRPr="008A4B17">
        <w:t xml:space="preserve">the act or an instance of killing a number of usually </w:t>
      </w:r>
      <w:r w:rsidR="008A4B17" w:rsidRPr="008A4B17">
        <w:rPr>
          <w:rStyle w:val="Strong"/>
        </w:rPr>
        <w:t>helpless or unresistin</w:t>
      </w:r>
      <w:r w:rsidR="008A4B17" w:rsidRPr="008A4B17">
        <w:t>g human beings under circumstances of </w:t>
      </w:r>
      <w:hyperlink r:id="rId2" w:history="1">
        <w:r w:rsidR="008A4B17" w:rsidRPr="008A4B17">
          <w:rPr>
            <w:rStyle w:val="Strong"/>
          </w:rPr>
          <w:t>atrocity</w:t>
        </w:r>
      </w:hyperlink>
      <w:r w:rsidR="008A4B17" w:rsidRPr="008A4B17">
        <w:rPr>
          <w:rStyle w:val="Strong"/>
        </w:rPr>
        <w:t> or cruelty.</w:t>
      </w:r>
      <w:r w:rsidR="008A4B17">
        <w:t>”</w:t>
      </w:r>
      <w:r>
        <w:t xml:space="preserve"> Don’t assume.</w:t>
      </w:r>
      <w:r>
        <w:br/>
      </w:r>
    </w:p>
  </w:endnote>
  <w:endnote w:id="10">
    <w:p w:rsidR="001E055F" w:rsidRDefault="006D6E67">
      <w:pPr>
        <w:pStyle w:val="EndnoteText"/>
      </w:pPr>
      <w:r>
        <w:rPr>
          <w:rStyle w:val="EndnoteReference"/>
        </w:rPr>
        <w:endnoteRef/>
      </w:r>
      <w:r>
        <w:t xml:space="preserve"> These are the Coercive Acts (to force)</w:t>
      </w:r>
    </w:p>
    <w:p w:rsidR="001E055F" w:rsidRDefault="006D6E67">
      <w:pPr>
        <w:pStyle w:val="EndnoteText"/>
        <w:numPr>
          <w:ilvl w:val="0"/>
          <w:numId w:val="5"/>
        </w:numPr>
      </w:pPr>
      <w:r>
        <w:t>Boston Port Act – Closed port until Boston pays</w:t>
      </w:r>
    </w:p>
    <w:p w:rsidR="001E055F" w:rsidRDefault="006D6E67">
      <w:pPr>
        <w:pStyle w:val="EndnoteText"/>
        <w:numPr>
          <w:ilvl w:val="0"/>
          <w:numId w:val="5"/>
        </w:numPr>
      </w:pPr>
      <w:r>
        <w:t>Quartering Act – Required local payment for quarters (places to stay, food, candles) for British soldiers</w:t>
      </w:r>
    </w:p>
    <w:p w:rsidR="001E055F" w:rsidRDefault="006D6E67">
      <w:pPr>
        <w:pStyle w:val="EndnoteText"/>
        <w:numPr>
          <w:ilvl w:val="0"/>
          <w:numId w:val="5"/>
        </w:numPr>
      </w:pPr>
      <w:r>
        <w:t>Massachusetts Government Act –Government would not be elected by the local people, but appointed by the English government</w:t>
      </w:r>
    </w:p>
    <w:p w:rsidR="001E055F" w:rsidRDefault="006D6E67">
      <w:pPr>
        <w:pStyle w:val="EndnoteText"/>
        <w:numPr>
          <w:ilvl w:val="0"/>
          <w:numId w:val="5"/>
        </w:numPr>
      </w:pPr>
      <w:r>
        <w:t>Town meetings (traditional local government in New England) required the governor’s consent.</w:t>
      </w:r>
      <w:r>
        <w:br/>
      </w:r>
    </w:p>
  </w:endnote>
  <w:endnote w:id="11">
    <w:p w:rsidR="001E055F" w:rsidRDefault="006D6E67">
      <w:pPr>
        <w:pStyle w:val="EndnoteText"/>
      </w:pPr>
      <w:r>
        <w:rPr>
          <w:rStyle w:val="EndnoteReference"/>
        </w:rPr>
        <w:endnoteRef/>
      </w:r>
      <w:r>
        <w:t xml:space="preserve"> Lord North and his Conciliatory Proposition – an offer to end taxes if a colony pays the salary of own governor and for own defense</w:t>
      </w:r>
      <w:r>
        <w:br/>
      </w:r>
    </w:p>
  </w:endnote>
  <w:endnote w:id="12">
    <w:p w:rsidR="001E055F" w:rsidRDefault="006D6E67">
      <w:pPr>
        <w:pStyle w:val="EndnoteText"/>
      </w:pPr>
      <w:r>
        <w:rPr>
          <w:rStyle w:val="EndnoteReference"/>
        </w:rPr>
        <w:endnoteRef/>
      </w:r>
      <w:r>
        <w:t xml:space="preserve"> The Continental Congress and its Olive Branch Petition - An olive branch is a symbol of trying to make peace. - The George III’s response, however, was that the colonists were “open and avowed enemies.”</w:t>
      </w:r>
      <w:r>
        <w:br/>
      </w:r>
    </w:p>
  </w:endnote>
  <w:endnote w:id="13">
    <w:p w:rsidR="001E055F" w:rsidRDefault="006D6E67">
      <w:pPr>
        <w:pStyle w:val="EndnoteText"/>
      </w:pPr>
      <w:r>
        <w:rPr>
          <w:rStyle w:val="EndnoteReference"/>
        </w:rPr>
        <w:endnoteRef/>
      </w:r>
      <w:r>
        <w:t xml:space="preserve"> Jefferson is the famous author of the Declaration of Independence, but he is not alone. Also the Congress revises his draft as well. Use the primary in Lesson 4 to recognize the main parts of the Declaration—its appeal to Enlightenment principles, its criticism of George III, and—to simplify—its divorce decree from the British empire.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5F" w:rsidRDefault="001E05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1B" w:rsidRDefault="0094221B">
      <w:r>
        <w:separator/>
      </w:r>
    </w:p>
  </w:footnote>
  <w:footnote w:type="continuationSeparator" w:id="0">
    <w:p w:rsidR="0094221B" w:rsidRDefault="0094221B">
      <w:r>
        <w:continuationSeparator/>
      </w:r>
    </w:p>
  </w:footnote>
  <w:footnote w:id="1">
    <w:p w:rsidR="00177089" w:rsidRDefault="00177089" w:rsidP="00177089">
      <w:r>
        <w:rPr>
          <w:rStyle w:val="FootnoteReference"/>
        </w:rPr>
        <w:footnoteRef/>
      </w:r>
      <w:r>
        <w:t xml:space="preserve"> </w:t>
      </w:r>
      <w:r>
        <w:t>One of several videos in the Video folder that can help you. The search words tell you how to find that content.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56B0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B3393"/>
    <w:multiLevelType w:val="hybridMultilevel"/>
    <w:tmpl w:val="8906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E60DAC"/>
    <w:multiLevelType w:val="hybridMultilevel"/>
    <w:tmpl w:val="606470E8"/>
    <w:lvl w:ilvl="0" w:tplc="779898E0">
      <w:start w:val="18"/>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3970F98"/>
    <w:multiLevelType w:val="hybridMultilevel"/>
    <w:tmpl w:val="1C9CE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256CF1"/>
    <w:multiLevelType w:val="hybridMultilevel"/>
    <w:tmpl w:val="648C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linkStyles/>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6F"/>
    <w:rsid w:val="000964B3"/>
    <w:rsid w:val="00177089"/>
    <w:rsid w:val="001E055F"/>
    <w:rsid w:val="002134CA"/>
    <w:rsid w:val="00260527"/>
    <w:rsid w:val="002F3B1A"/>
    <w:rsid w:val="003A285C"/>
    <w:rsid w:val="003C623B"/>
    <w:rsid w:val="003D1630"/>
    <w:rsid w:val="00503630"/>
    <w:rsid w:val="006D6E67"/>
    <w:rsid w:val="00753EF7"/>
    <w:rsid w:val="008A4B17"/>
    <w:rsid w:val="008E684E"/>
    <w:rsid w:val="0094221B"/>
    <w:rsid w:val="00BD0017"/>
    <w:rsid w:val="00CF1184"/>
    <w:rsid w:val="00D10A4E"/>
    <w:rsid w:val="00D5596D"/>
    <w:rsid w:val="00D607B6"/>
    <w:rsid w:val="00E3789D"/>
    <w:rsid w:val="00E52332"/>
    <w:rsid w:val="00E94A6F"/>
    <w:rsid w:val="00F448F5"/>
    <w:rsid w:val="00FB2FF6"/>
    <w:rsid w:val="00FB594D"/>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E5408F-8527-404F-B4B5-A91DCD55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uiPriority w:val="9"/>
    <w:qFormat/>
    <w:pPr>
      <w:keepNext/>
      <w:spacing w:before="240"/>
      <w:outlineLvl w:val="2"/>
    </w:pPr>
    <w:rPr>
      <w:rFonts w:eastAsiaTheme="minorEastAsia" w:cs="Arial"/>
      <w:b/>
      <w:bCs/>
      <w:szCs w:val="26"/>
    </w:rPr>
  </w:style>
  <w:style w:type="paragraph" w:styleId="Heading4">
    <w:name w:val="heading 4"/>
    <w:basedOn w:val="Normal"/>
    <w:next w:val="Normal"/>
    <w:link w:val="Heading4Char"/>
    <w:uiPriority w:val="9"/>
    <w:qFormat/>
    <w:pPr>
      <w:spacing w:before="120"/>
      <w:outlineLvl w:val="3"/>
    </w:pPr>
    <w:rPr>
      <w:rFonts w:eastAsiaTheme="minorEastAsia"/>
      <w:b/>
      <w:bCs/>
    </w:rPr>
  </w:style>
  <w:style w:type="paragraph" w:styleId="Heading5">
    <w:name w:val="heading 5"/>
    <w:basedOn w:val="Normal"/>
    <w:next w:val="Normal"/>
    <w:link w:val="Heading5Char"/>
    <w:uiPriority w:val="9"/>
    <w:qFormat/>
    <w:pPr>
      <w:spacing w:before="120"/>
      <w:outlineLvl w:val="4"/>
    </w:pPr>
    <w:rPr>
      <w:rFonts w:eastAsiaTheme="minorEastAsia"/>
      <w:b/>
      <w:bCs/>
      <w:i/>
      <w:iCs/>
      <w:szCs w:val="26"/>
    </w:rPr>
  </w:style>
  <w:style w:type="paragraph" w:styleId="Heading6">
    <w:name w:val="heading 6"/>
    <w:basedOn w:val="Normal"/>
    <w:next w:val="Normal"/>
    <w:link w:val="Heading6Char"/>
    <w:uiPriority w:val="9"/>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
    <w:qFormat/>
    <w:pPr>
      <w:spacing w:before="120"/>
      <w:outlineLvl w:val="6"/>
    </w:pPr>
    <w:rPr>
      <w:rFonts w:ascii="Times New Roman" w:hAnsi="Times New Roman"/>
      <w:b/>
    </w:rPr>
  </w:style>
  <w:style w:type="paragraph" w:styleId="Heading8">
    <w:name w:val="heading 8"/>
    <w:basedOn w:val="Normal"/>
    <w:next w:val="Normal"/>
    <w:link w:val="Heading8Char"/>
    <w:uiPriority w:val="9"/>
    <w:qFormat/>
    <w:pPr>
      <w:spacing w:before="240" w:after="60"/>
      <w:outlineLvl w:val="7"/>
    </w:pPr>
    <w:rPr>
      <w:rFonts w:ascii="Garamond" w:hAnsi="Garamond"/>
      <w:b/>
      <w:i/>
      <w:iCs/>
    </w:rPr>
  </w:style>
  <w:style w:type="paragraph" w:styleId="Heading9">
    <w:name w:val="heading 9"/>
    <w:basedOn w:val="Normal"/>
    <w:next w:val="Normal"/>
    <w:link w:val="Heading9Char"/>
    <w:uiPriority w:val="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Cs w:val="24"/>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E74B5" w:themeColor="accent1" w:themeShade="BF"/>
      <w:szCs w:val="24"/>
    </w:rPr>
  </w:style>
  <w:style w:type="character" w:customStyle="1" w:styleId="Heading6Char">
    <w:name w:val="Heading 6 Char"/>
    <w:basedOn w:val="DefaultParagraphFont"/>
    <w:link w:val="Heading6"/>
    <w:uiPriority w:val="9"/>
    <w:locked/>
    <w:rPr>
      <w:rFonts w:asciiTheme="majorHAnsi" w:eastAsiaTheme="majorEastAsia" w:hAnsiTheme="majorHAnsi" w:cstheme="majorBidi" w:hint="default"/>
      <w:color w:val="1F4D78" w:themeColor="accent1" w:themeShade="7F"/>
      <w:szCs w:val="24"/>
    </w:rPr>
  </w:style>
  <w:style w:type="character" w:customStyle="1" w:styleId="Heading7Char">
    <w:name w:val="Heading 7 Char"/>
    <w:basedOn w:val="DefaultParagraphFont"/>
    <w:link w:val="Heading7"/>
    <w:uiPriority w:val="9"/>
    <w:locked/>
    <w:rPr>
      <w:rFonts w:asciiTheme="majorHAnsi" w:eastAsiaTheme="majorEastAsia" w:hAnsiTheme="majorHAnsi" w:cstheme="majorBidi" w:hint="default"/>
      <w:i/>
      <w:iCs/>
      <w:color w:val="1F4D78" w:themeColor="accent1" w:themeShade="7F"/>
      <w:szCs w:val="24"/>
    </w:rPr>
  </w:style>
  <w:style w:type="character" w:customStyle="1" w:styleId="Heading8Char">
    <w:name w:val="Heading 8 Char"/>
    <w:basedOn w:val="DefaultParagraphFont"/>
    <w:link w:val="Heading8"/>
    <w:uiPriority w:val="9"/>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locked/>
    <w:rPr>
      <w:rFonts w:asciiTheme="majorHAnsi" w:eastAsiaTheme="majorEastAsia" w:hAnsiTheme="majorHAnsi" w:cstheme="majorBidi" w:hint="default"/>
      <w:i/>
      <w:iCs/>
      <w:color w:val="272727" w:themeColor="text1" w:themeTint="D8"/>
      <w:sz w:val="21"/>
      <w:szCs w:val="21"/>
    </w:rPr>
  </w:style>
  <w:style w:type="paragraph" w:styleId="NormalIndent">
    <w:name w:val="Normal Indent"/>
    <w:basedOn w:val="Normal"/>
    <w:uiPriority w:val="99"/>
    <w:semiHidden/>
    <w:unhideWhenUsed/>
    <w:pPr>
      <w:ind w:left="720"/>
    </w:pPr>
    <w:rPr>
      <w:rFonts w:cs="Arial"/>
      <w:color w:val="000000"/>
      <w:szCs w:val="20"/>
    </w:rPr>
  </w:style>
  <w:style w:type="paragraph" w:styleId="FootnoteText">
    <w:name w:val="footnote text"/>
    <w:basedOn w:val="Normal"/>
    <w:link w:val="FootnoteTextChar"/>
    <w:uiPriority w:val="99"/>
    <w:semiHidden/>
    <w:unhideWhenUsed/>
    <w:rPr>
      <w:sz w:val="18"/>
      <w:szCs w:val="20"/>
    </w:rPr>
  </w:style>
  <w:style w:type="character" w:customStyle="1" w:styleId="FootnoteTextChar">
    <w:name w:val="Footnote Text Char"/>
    <w:basedOn w:val="DefaultParagraphFont"/>
    <w:link w:val="FootnoteText"/>
    <w:uiPriority w:val="99"/>
    <w:semiHidden/>
    <w:locked/>
    <w:rPr>
      <w:rFonts w:ascii="Arial" w:hAnsi="Arial" w:cs="Arial" w:hint="default"/>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hint="default"/>
      <w:szCs w:val="24"/>
    </w:rPr>
  </w:style>
  <w:style w:type="paragraph" w:styleId="Footer">
    <w:name w:val="footer"/>
    <w:basedOn w:val="Normal"/>
    <w:link w:val="FooterChar"/>
    <w:uiPriority w:val="99"/>
    <w:unhideWhenUsed/>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link w:val="EndnoteText"/>
    <w:uiPriority w:val="99"/>
    <w:semiHidden/>
    <w:locked/>
    <w:rPr>
      <w:rFonts w:ascii="Arial" w:hAnsi="Arial" w:cs="Arial" w:hint="default"/>
    </w:rPr>
  </w:style>
  <w:style w:type="paragraph" w:styleId="ListBullet">
    <w:name w:val="List Bullet"/>
    <w:basedOn w:val="Normal"/>
    <w:autoRedefine/>
    <w:uiPriority w:val="99"/>
    <w:semiHidden/>
    <w:unhideWhenUsed/>
    <w:pPr>
      <w:numPr>
        <w:numId w:val="1"/>
      </w:numPr>
    </w:pPr>
  </w:style>
  <w:style w:type="paragraph" w:styleId="Title">
    <w:name w:val="Title"/>
    <w:basedOn w:val="Normal"/>
    <w:next w:val="Normal"/>
    <w:link w:val="TitleChar"/>
    <w:uiPriority w:val="10"/>
    <w:qFormat/>
    <w:pPr>
      <w:jc w:val="center"/>
      <w:outlineLvl w:val="0"/>
    </w:pPr>
    <w:rPr>
      <w:b/>
      <w:kern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Arial" w:hAnsi="Arial" w:cs="Arial" w:hint="default"/>
      <w:szCs w:val="24"/>
    </w:rPr>
  </w:style>
  <w:style w:type="paragraph" w:styleId="Subtitle">
    <w:name w:val="Subtitle"/>
    <w:basedOn w:val="Normal"/>
    <w:link w:val="SubtitleChar"/>
    <w:uiPriority w:val="11"/>
    <w:qFormat/>
    <w:pPr>
      <w:spacing w:after="60"/>
      <w:jc w:val="center"/>
      <w:outlineLvl w:val="1"/>
    </w:pPr>
    <w:rPr>
      <w:sz w:val="24"/>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color w:val="5A5A5A" w:themeColor="text1" w:themeTint="A5"/>
      <w:spacing w:val="15"/>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paragraph" w:customStyle="1" w:styleId="NormalIndentLabel">
    <w:name w:val="Normal Indent Label"/>
    <w:basedOn w:val="NormalIndent"/>
    <w:next w:val="NormalIndent"/>
    <w:pPr>
      <w:spacing w:before="240"/>
    </w:pPr>
  </w:style>
  <w:style w:type="paragraph" w:customStyle="1" w:styleId="NormalLabel">
    <w:name w:val="Normal Label"/>
    <w:basedOn w:val="Normal"/>
    <w:rPr>
      <w:b/>
    </w:rPr>
  </w:style>
  <w:style w:type="paragraph" w:customStyle="1" w:styleId="Art">
    <w:name w:val="Art"/>
    <w:basedOn w:val="Normal"/>
    <w:rPr>
      <w:sz w:val="16"/>
    </w:rPr>
  </w:style>
  <w:style w:type="paragraph" w:customStyle="1" w:styleId="ArtColorLabel">
    <w:name w:val="Art Color Label"/>
    <w:basedOn w:val="Art"/>
    <w:rPr>
      <w:color w:val="FFFFFF"/>
    </w:rPr>
  </w:style>
  <w:style w:type="paragraph" w:customStyle="1" w:styleId="Tabularbold">
    <w:name w:val="Tabularbold"/>
    <w:basedOn w:val="Normal"/>
    <w:rPr>
      <w:b/>
      <w:color w:val="660033"/>
    </w:rPr>
  </w:style>
  <w:style w:type="paragraph" w:customStyle="1" w:styleId="TabularboldREV">
    <w:name w:val="TabularboldREV"/>
    <w:basedOn w:val="Normal"/>
    <w:rPr>
      <w:b/>
      <w:color w:val="FFFFFF"/>
    </w:rPr>
  </w:style>
  <w:style w:type="paragraph" w:customStyle="1" w:styleId="NormalColorLabel">
    <w:name w:val="Normal Color Label"/>
    <w:basedOn w:val="NormalLabel"/>
    <w:rPr>
      <w:color w:val="660033"/>
    </w:rPr>
  </w:style>
  <w:style w:type="paragraph" w:customStyle="1" w:styleId="Tabularbolditalic">
    <w:name w:val="Tabularbolditalic"/>
    <w:basedOn w:val="Tabularbold"/>
    <w:rPr>
      <w:i/>
    </w:rPr>
  </w:style>
  <w:style w:type="paragraph" w:customStyle="1" w:styleId="LOFquote">
    <w:name w:val="LOFquote"/>
    <w:basedOn w:val="Normal"/>
    <w:rPr>
      <w:color w:val="003300"/>
    </w:rPr>
  </w:style>
  <w:style w:type="paragraph" w:customStyle="1" w:styleId="Normalfordefinitions">
    <w:name w:val="Normal_for_definitions"/>
    <w:basedOn w:val="Normal"/>
    <w:rPr>
      <w:color w:val="000080"/>
    </w:rPr>
  </w:style>
  <w:style w:type="paragraph" w:customStyle="1" w:styleId="Matrixlabel">
    <w:name w:val="Matrixlabel"/>
    <w:basedOn w:val="Normal"/>
    <w:rPr>
      <w:b/>
    </w:rPr>
  </w:style>
  <w:style w:type="paragraph" w:customStyle="1" w:styleId="Matrixtext">
    <w:name w:val="Matrixtext"/>
    <w:basedOn w:val="Normal"/>
  </w:style>
  <w:style w:type="paragraph" w:customStyle="1" w:styleId="ContentsLabel">
    <w:name w:val="Contents Label"/>
    <w:basedOn w:val="NormalColorLabel"/>
    <w:next w:val="Normal"/>
  </w:style>
  <w:style w:type="paragraph" w:customStyle="1" w:styleId="Contentsublabel">
    <w:name w:val="Contentsublabel"/>
    <w:basedOn w:val="Tabularbold"/>
    <w:next w:val="Normal"/>
  </w:style>
  <w:style w:type="paragraph" w:customStyle="1" w:styleId="Contentstopiclist">
    <w:name w:val="Contents_topic_list"/>
    <w:basedOn w:val="Normal"/>
    <w:rPr>
      <w:sz w:val="16"/>
      <w:szCs w:val="20"/>
    </w:rPr>
  </w:style>
  <w:style w:type="paragraph" w:customStyle="1" w:styleId="Contentstopiclabel">
    <w:name w:val="Contents_topic_label"/>
    <w:basedOn w:val="Normal"/>
    <w:rPr>
      <w:b/>
      <w:sz w:val="16"/>
      <w:szCs w:val="20"/>
    </w:rPr>
  </w:style>
  <w:style w:type="paragraph" w:customStyle="1" w:styleId="Tabularcompressed">
    <w:name w:val="Tabular_compressed"/>
    <w:basedOn w:val="Normal"/>
    <w:rPr>
      <w:sz w:val="16"/>
    </w:rPr>
  </w:style>
  <w:style w:type="paragraph" w:customStyle="1" w:styleId="TabularboldREVcompressed">
    <w:name w:val="TabularboldREV_compressed"/>
    <w:basedOn w:val="TabularboldREV"/>
    <w:rPr>
      <w:sz w:val="16"/>
    </w:rPr>
  </w:style>
  <w:style w:type="paragraph" w:customStyle="1" w:styleId="N-2RForArtOnly">
    <w:name w:val="N-2@R_For_Art_Only"/>
    <w:basedOn w:val="Normal"/>
    <w:pPr>
      <w:jc w:val="right"/>
    </w:pPr>
    <w:rPr>
      <w:szCs w:val="20"/>
    </w:rPr>
  </w:style>
  <w:style w:type="paragraph" w:customStyle="1" w:styleId="SeeReference">
    <w:name w:val="See Reference"/>
    <w:basedOn w:val="NormalColorLabel"/>
    <w:pPr>
      <w:spacing w:before="240" w:after="60"/>
    </w:pPr>
    <w:rPr>
      <w:sz w:val="22"/>
    </w:rPr>
  </w:style>
  <w:style w:type="paragraph" w:customStyle="1" w:styleId="SyllabusLabel">
    <w:name w:val="SyllabusLabel"/>
    <w:basedOn w:val="Normal"/>
    <w:rPr>
      <w:rFonts w:ascii="Times New Roman" w:hAnsi="Times New Roman"/>
      <w:b/>
      <w:caps/>
      <w:sz w:val="24"/>
      <w:szCs w:val="20"/>
    </w:rPr>
  </w:style>
  <w:style w:type="paragraph" w:customStyle="1" w:styleId="Normalspaceabove">
    <w:name w:val="Normal_space_above"/>
    <w:basedOn w:val="Normal"/>
    <w:pPr>
      <w:spacing w:before="40"/>
    </w:pPr>
  </w:style>
  <w:style w:type="paragraph" w:customStyle="1" w:styleId="ReviewerNOTE">
    <w:name w:val="ReviewerNOTE"/>
    <w:basedOn w:val="Normal"/>
    <w:pPr>
      <w:ind w:left="360"/>
    </w:pPr>
    <w:rPr>
      <w:color w:val="800000"/>
    </w:r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CoachHead">
    <w:name w:val="1CoachHead"/>
    <w:basedOn w:val="Heading3"/>
    <w:pPr>
      <w:spacing w:before="120" w:after="120"/>
      <w:jc w:val="center"/>
    </w:pPr>
    <w:rPr>
      <w:rFonts w:eastAsia="Times New Roman" w:cs="Times New Roman"/>
      <w:bCs w:val="0"/>
      <w:sz w:val="24"/>
      <w:szCs w:val="20"/>
    </w:rPr>
  </w:style>
  <w:style w:type="paragraph" w:customStyle="1" w:styleId="Normal-RIGHTFLUSH">
    <w:name w:val="Normal-RIGHTFLUSH"/>
    <w:basedOn w:val="Normal"/>
    <w:pPr>
      <w:jc w:val="right"/>
    </w:pPr>
    <w:rPr>
      <w:bCs/>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uiPriority w:val="99"/>
    <w:semiHidden/>
    <w:unhideWhenUsed/>
    <w:rPr>
      <w:vertAlign w:val="superscript"/>
    </w:rPr>
  </w:style>
  <w:style w:type="character" w:styleId="EndnoteReference">
    <w:name w:val="endnote reference"/>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4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739_1763_Wars_for_Empir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merriam-webster.com/dictionary/atrocity" TargetMode="External"/><Relationship Id="rId1" Type="http://schemas.openxmlformats.org/officeDocument/2006/relationships/hyperlink" Target="http://www.cjbibus.com/1739_1763_Wars_for_Empir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629A-174D-40C5-97C2-41F3A5D4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4</TotalTime>
  <Pages>7</Pages>
  <Words>1352</Words>
  <Characters>6409</Characters>
  <Application>Microsoft Office Word</Application>
  <DocSecurity>0</DocSecurity>
  <Lines>106</Lines>
  <Paragraphs>77</Paragraphs>
  <ScaleCrop>false</ScaleCrop>
  <HeadingPairs>
    <vt:vector size="2" baseType="variant">
      <vt:variant>
        <vt:lpstr>Title</vt:lpstr>
      </vt:variant>
      <vt:variant>
        <vt:i4>1</vt:i4>
      </vt:variant>
    </vt:vector>
  </HeadingPairs>
  <TitlesOfParts>
    <vt:vector size="1" baseType="lpstr">
      <vt:lpstr>Study Tool for the Path to Revolution</vt:lpstr>
    </vt:vector>
  </TitlesOfParts>
  <Company>Hewlett-Packard</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Tool for the Path to Revolution</dc:title>
  <dc:subject/>
  <dc:creator>Connie "C.J." Bibus, Ed.D.</dc:creator>
  <cp:keywords/>
  <dc:description/>
  <cp:lastModifiedBy>cjbibus</cp:lastModifiedBy>
  <cp:revision>3</cp:revision>
  <cp:lastPrinted>2021-01-24T08:45:00Z</cp:lastPrinted>
  <dcterms:created xsi:type="dcterms:W3CDTF">2021-01-24T08:48:00Z</dcterms:created>
  <dcterms:modified xsi:type="dcterms:W3CDTF">2021-01-24T08:57:00Z</dcterms:modified>
</cp:coreProperties>
</file>