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Toc51618884"/>
      <w:r>
        <w:rPr>
          <w:rStyle w:val="Heading2Char"/>
        </w:rPr>
        <w:t>The Progressive Era</w:t>
      </w:r>
      <w:bookmarkEnd w:id="0"/>
    </w:p>
    <w:p w:rsidR="00000000" w:rsidRDefault="007B4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2C4CC0">
        <w:rPr>
          <w:rFonts w:eastAsia="Times New Roman" w:cs="Courier New"/>
          <w:color w:val="000000"/>
          <w:shd w:val="clear" w:color="auto" w:fill="FFFF00"/>
        </w:rPr>
        <w:t xml:space="preserve">Unit 2 does </w:t>
      </w:r>
      <w:r w:rsidRPr="002C4CC0">
        <w:rPr>
          <w:rStyle w:val="Strong"/>
          <w:shd w:val="clear" w:color="auto" w:fill="FFFF00"/>
        </w:rPr>
        <w:t>not</w:t>
      </w:r>
      <w:r w:rsidRPr="002C4CC0">
        <w:rPr>
          <w:rFonts w:eastAsia="Times New Roman" w:cs="Courier New"/>
          <w:color w:val="000000"/>
          <w:shd w:val="clear" w:color="auto" w:fill="FFFF00"/>
        </w:rPr>
        <w:t xml:space="preserve"> have a traditional test. </w:t>
      </w:r>
      <w:r>
        <w:rPr>
          <w:rFonts w:eastAsia="Times New Roman" w:cs="Courier New"/>
          <w:color w:val="000000"/>
        </w:rPr>
        <w:t xml:space="preserve">Click </w:t>
      </w:r>
      <w:hyperlink r:id="rId8" w:history="1">
        <w:r>
          <w:rPr>
            <w:rStyle w:val="Hyperlink"/>
            <w:rFonts w:eastAsia="Times New Roman" w:cs="Courier New"/>
          </w:rPr>
          <w:t>here for how it works.</w:t>
        </w:r>
      </w:hyperlink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8635"/>
      </w:tblGrid>
      <w:tr w:rsidR="00000000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42E4">
            <w:pPr>
              <w:rPr>
                <w:rFonts w:cs="Arial"/>
              </w:rPr>
            </w:pPr>
            <w:r>
              <w:rPr>
                <w:rFonts w:cs="Arial"/>
              </w:rPr>
              <w:t>Use the</w:t>
            </w:r>
            <w:r>
              <w:rPr>
                <w:rFonts w:cs="Arial"/>
                <w:b/>
              </w:rPr>
              <w:t xml:space="preserve"> 1</w:t>
            </w:r>
            <w:r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3 Learning Quizzes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throughout the Unit.</w:t>
            </w:r>
            <w:r>
              <w:rPr>
                <w:rFonts w:cs="Arial"/>
                <w:b/>
              </w:rPr>
              <w:br/>
              <w:t>Lesson 1 ------------------------------------------------------------</w:t>
            </w:r>
          </w:p>
          <w:p w:rsidR="00000000" w:rsidRDefault="007B4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Why the Progressive Era? Response to Gilded Age industrialization</w:t>
            </w:r>
          </w:p>
          <w:p w:rsidR="00000000" w:rsidRDefault="007B42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 all levels of government:  city, state (initiative, referendum), federal (increasing use of comm</w:t>
            </w:r>
            <w:r>
              <w:rPr>
                <w:rFonts w:cs="Arial"/>
                <w:sz w:val="18"/>
                <w:szCs w:val="18"/>
              </w:rPr>
              <w:t>issions, but names vary)</w:t>
            </w:r>
          </w:p>
          <w:p w:rsidR="00000000" w:rsidRDefault="007B42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Constitution–Populist-proposed, Progressive-passed, 1913 16</w:t>
            </w:r>
            <w:r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(income tax) &amp; 17</w:t>
            </w:r>
            <w:r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(direct election, Senators)</w:t>
            </w:r>
          </w:p>
          <w:p w:rsidR="00000000" w:rsidRDefault="007B42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By the Free Press &amp; Muckrakers–</w:t>
            </w:r>
            <w:r>
              <w:rPr>
                <w:rFonts w:cs="Arial"/>
                <w:i/>
                <w:sz w:val="18"/>
                <w:szCs w:val="18"/>
              </w:rPr>
              <w:t xml:space="preserve">McClure’s </w:t>
            </w:r>
            <w:r>
              <w:rPr>
                <w:rFonts w:cs="Arial"/>
                <w:sz w:val="18"/>
                <w:szCs w:val="18"/>
              </w:rPr>
              <w:t>Magazine; Examples: Ida Tarbell (Standard Oil) , Upton Sinclair (meatpack</w:t>
            </w:r>
            <w:r>
              <w:rPr>
                <w:rFonts w:cs="Arial"/>
                <w:sz w:val="18"/>
                <w:szCs w:val="18"/>
              </w:rPr>
              <w:t>ing), Lincoln Stephens (city government)</w:t>
            </w:r>
          </w:p>
          <w:p w:rsidR="00000000" w:rsidRDefault="007B4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Progressive Era foreign policy </w:t>
            </w:r>
          </w:p>
          <w:p w:rsidR="00000000" w:rsidRDefault="007B42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T. Roosevelt/TR (Rep.) 1901-1904, 1904-1908 - Panama Canal, Roosevelt Corollary to the Monroe Doctrine (background on sovereign debt)</w:t>
            </w:r>
          </w:p>
          <w:p w:rsidR="00000000" w:rsidRDefault="007B42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W.H. Taft (Rep) 1908-1912–Dollar Diplomacy in Asi</w:t>
            </w:r>
            <w:r>
              <w:rPr>
                <w:rFonts w:cs="Arial"/>
                <w:sz w:val="18"/>
                <w:szCs w:val="18"/>
              </w:rPr>
              <w:t>a &amp; Latin America</w:t>
            </w:r>
          </w:p>
          <w:p w:rsidR="00000000" w:rsidRDefault="007B42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W. Wilson (Dem), 1912-1916, 1916-1920 - Intervention in Mexico and counter by </w:t>
            </w:r>
            <w:proofErr w:type="spellStart"/>
            <w:r>
              <w:rPr>
                <w:rFonts w:cs="Arial"/>
                <w:sz w:val="18"/>
                <w:szCs w:val="18"/>
              </w:rPr>
              <w:t>Pancho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Villa</w:t>
            </w:r>
          </w:p>
          <w:p w:rsidR="00000000" w:rsidRDefault="007B4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Progressive domestic policy–Theodore Roosevelt 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Trust policy-Northern Securities case–“public interest” 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Labor policy-Square Deal &amp; the coal strike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Consumer Protections – Example: FDA &amp; Meat Inspection Act</w:t>
            </w:r>
          </w:p>
          <w:p w:rsidR="00000000" w:rsidRDefault="007B4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Progressive domestic policy–W.H. Taft (1908-1912), primarily on-going political fights with TR; split in the Rep party]</w:t>
            </w:r>
          </w:p>
          <w:p w:rsidR="00000000" w:rsidRDefault="007B4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way split in 1912–TR, Taft, Wilson, &amp; E.V. Debs (Socialist)</w:t>
            </w:r>
          </w:p>
          <w:p w:rsidR="00000000" w:rsidRDefault="007B4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Progressive </w:t>
            </w:r>
            <w:r>
              <w:rPr>
                <w:rFonts w:cs="Arial"/>
                <w:sz w:val="18"/>
                <w:szCs w:val="18"/>
              </w:rPr>
              <w:t>domestic policy–Woodrow Wilson on privileges: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Trust policy–Federal Trade Commission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Bank policy-Federal Reserve &amp; currency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Tariff–lowered; income tax, later as amendment</w:t>
            </w:r>
          </w:p>
          <w:p w:rsidR="00000000" w:rsidRDefault="007B42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Progressive era &amp; groups forming and changing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  <w:shd w:val="clear" w:color="auto" w:fill="FFC000"/>
              </w:rPr>
              <w:t>Caution:</w:t>
            </w:r>
            <w:r>
              <w:rPr>
                <w:rFonts w:cs="Arial"/>
                <w:sz w:val="18"/>
                <w:szCs w:val="18"/>
              </w:rPr>
              <w:t xml:space="preserve"> increased anti-immigrant, anti-</w:t>
            </w:r>
            <w:r>
              <w:rPr>
                <w:rFonts w:cs="Arial"/>
                <w:sz w:val="18"/>
                <w:szCs w:val="18"/>
              </w:rPr>
              <w:t>African American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 Wilson, 1</w:t>
            </w:r>
            <w:r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time segregation in DC federal jobs</w:t>
            </w:r>
          </w:p>
          <w:p w:rsidR="00000000" w:rsidRDefault="007B42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Factories-increasing mechanization since Henry Ford’s assembly line but increased pay ($5 a day men)</w:t>
            </w:r>
          </w:p>
          <w:p w:rsidR="00000000" w:rsidRDefault="007B42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Women-suffragettes (DC parade)</w:t>
            </w:r>
          </w:p>
          <w:p w:rsidR="00000000" w:rsidRDefault="007B42E4">
            <w:pPr>
              <w:spacing w:after="0" w:line="240" w:lineRule="auto"/>
              <w:contextualSpacing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000000" w:rsidRDefault="007B42E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"2-4" \h \z \u </w:instrText>
      </w:r>
      <w:r>
        <w:fldChar w:fldCharType="separate"/>
      </w:r>
      <w:hyperlink w:anchor="_Toc51618884" w:history="1">
        <w:r>
          <w:rPr>
            <w:rStyle w:val="Hyperlink"/>
            <w:noProof/>
          </w:rPr>
          <w:t>The Progressive Era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_Toc51618884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1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85" w:history="1">
        <w:r>
          <w:rPr>
            <w:rStyle w:val="Hyperlink"/>
            <w:noProof/>
          </w:rPr>
          <w:t>Why the Progressive Era?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_Toc51618885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86" w:history="1">
        <w:r>
          <w:rPr>
            <w:rStyle w:val="Hyperlink"/>
            <w:noProof/>
          </w:rPr>
          <w:t>Res</w:t>
        </w:r>
        <w:r>
          <w:rPr>
            <w:rStyle w:val="Hyperlink"/>
            <w:noProof/>
          </w:rPr>
          <w:t>ponse to Gilded Age Industrialization as It Damages Social and Political Life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_Toc51618886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87" w:history="1">
        <w:r>
          <w:rPr>
            <w:rStyle w:val="Hyperlink"/>
            <w:noProof/>
          </w:rPr>
          <w:t>Governmental Reform at All Levels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</w:instrText>
        </w:r>
        <w:r>
          <w:rPr>
            <w:rStyle w:val="Hyperlink"/>
            <w:noProof/>
            <w:webHidden/>
            <w:color w:val="auto"/>
            <w:u w:val="none"/>
          </w:rPr>
          <w:instrText xml:space="preserve">51618887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88" w:history="1">
        <w:r>
          <w:rPr>
            <w:rStyle w:val="Hyperlink"/>
            <w:noProof/>
          </w:rPr>
          <w:t>Reform by the Free Press (and Its Middle Class Readers)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_Toc51618888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89" w:history="1">
        <w:r>
          <w:rPr>
            <w:rStyle w:val="Hyperlink"/>
            <w:noProof/>
          </w:rPr>
          <w:t>Foreign Policy of the 3 Presidents in the Progressive Era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_Toc51618889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0" w:history="1">
        <w:r>
          <w:rPr>
            <w:rStyle w:val="Hyperlink"/>
            <w:noProof/>
          </w:rPr>
          <w:t>Foreign policy -Theodore Roosevelt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_Toc51618890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2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1" w:history="1">
        <w:r>
          <w:rPr>
            <w:rStyle w:val="Hyperlink"/>
            <w:noProof/>
          </w:rPr>
          <w:t>Foreign Policy - William Howard Taft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_Toc51618891 \h</w:instrText>
        </w:r>
        <w:r>
          <w:rPr>
            <w:rStyle w:val="Hyperlink"/>
            <w:noProof/>
            <w:webHidden/>
            <w:color w:val="auto"/>
            <w:u w:val="none"/>
          </w:rPr>
          <w:instrText xml:space="preserve">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2" w:history="1">
        <w:r>
          <w:rPr>
            <w:rStyle w:val="Hyperlink"/>
            <w:noProof/>
          </w:rPr>
          <w:t>Foreign Policy - Woodrow Wilson (but not including World War I)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_Toc51618892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3" w:history="1">
        <w:r>
          <w:rPr>
            <w:rStyle w:val="Hyperlink"/>
            <w:noProof/>
          </w:rPr>
          <w:t>Domestic Policy, Labor, and Trusts – Theodore Roosevelt (1901-1908)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_Toc51618893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4" w:history="1">
        <w:r>
          <w:rPr>
            <w:rStyle w:val="Hyperlink"/>
            <w:noProof/>
          </w:rPr>
          <w:t>Domestic Policy – W.H</w:t>
        </w:r>
        <w:r>
          <w:rPr>
            <w:rStyle w:val="Hyperlink"/>
            <w:noProof/>
          </w:rPr>
          <w:t>. Taft (1908-1912)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_Toc51618894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5" w:history="1">
        <w:r>
          <w:rPr>
            <w:rStyle w:val="Hyperlink"/>
            <w:noProof/>
          </w:rPr>
          <w:t>Election of 1912 – a 4-Way Split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_Toc51618895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6" w:history="1">
        <w:r>
          <w:rPr>
            <w:rStyle w:val="Hyperlink"/>
            <w:noProof/>
          </w:rPr>
          <w:t>Domestic Policy, Labor, Trusts, and Tariffs (and Income Tax) – Woodrow Wilson (1912-1920)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_Toc51618896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3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51618897" w:history="1">
        <w:r>
          <w:rPr>
            <w:rStyle w:val="Hyperlink"/>
            <w:noProof/>
          </w:rPr>
          <w:t>Groups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_Toc51618897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4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8" w:history="1">
        <w:r>
          <w:rPr>
            <w:rStyle w:val="Hyperlink"/>
            <w:noProof/>
          </w:rPr>
          <w:t>Racism and Theodore Roosevelt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_Toc51618898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4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899" w:history="1">
        <w:r>
          <w:rPr>
            <w:rStyle w:val="Hyperlink"/>
            <w:noProof/>
          </w:rPr>
          <w:t>Racism and Woodrow Wilson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_Toc51618899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4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51618900" w:history="1">
        <w:r>
          <w:rPr>
            <w:rStyle w:val="Hyperlink"/>
            <w:noProof/>
          </w:rPr>
          <w:t>Gro</w:t>
        </w:r>
        <w:r>
          <w:rPr>
            <w:rStyle w:val="Hyperlink"/>
            <w:noProof/>
          </w:rPr>
          <w:t>ups Changing and Forming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_Toc51618900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 w:rsidR="006A414D">
          <w:rPr>
            <w:rStyle w:val="Hyperlink"/>
            <w:noProof/>
            <w:webHidden/>
            <w:color w:val="auto"/>
            <w:u w:val="none"/>
          </w:rPr>
          <w:t>4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000000" w:rsidRDefault="007B42E4">
      <w:r>
        <w:lastRenderedPageBreak/>
        <w:fldChar w:fldCharType="end"/>
      </w:r>
    </w:p>
    <w:p w:rsidR="00000000" w:rsidRDefault="007B42E4">
      <w:pPr>
        <w:pStyle w:val="Heading2"/>
      </w:pPr>
      <w:bookmarkStart w:id="1" w:name="_Toc51618885"/>
      <w:r>
        <w:t>Why the Progressive Era?</w:t>
      </w:r>
      <w:bookmarkEnd w:id="1"/>
    </w:p>
    <w:p w:rsidR="00000000" w:rsidRDefault="007B42E4">
      <w:pPr>
        <w:pStyle w:val="Heading3"/>
      </w:pPr>
      <w:bookmarkStart w:id="2" w:name="_Toc51618886"/>
      <w:r>
        <w:t>Response to Gilded Age Industrialization as It Damages Social and Political Life</w:t>
      </w:r>
      <w:bookmarkEnd w:id="2"/>
    </w:p>
    <w:p w:rsidR="00000000" w:rsidRDefault="007B42E4">
      <w:pPr>
        <w:pStyle w:val="NoSpacing"/>
        <w:rPr>
          <w:i/>
        </w:rPr>
      </w:pPr>
      <w:r>
        <w:rPr>
          <w:i/>
        </w:rPr>
        <w:t xml:space="preserve">Government as the </w:t>
      </w:r>
      <w:r>
        <w:rPr>
          <w:i/>
        </w:rPr>
        <w:t>Only Counter to Big Business and Trusts – Letting Theodore Roosevelt Speak for Many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05"/>
      </w:tblGrid>
      <w:tr w:rsidR="0000000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B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“</w:t>
            </w:r>
            <w:proofErr w:type="gramStart"/>
            <w:r>
              <w:rPr>
                <w:rFonts w:eastAsia="Times New Roman" w:cs="Courier New"/>
                <w:color w:val="000000"/>
              </w:rPr>
              <w:t>trusts</w:t>
            </w:r>
            <w:proofErr w:type="gramEnd"/>
            <w:r>
              <w:rPr>
                <w:rFonts w:eastAsia="Times New Roman" w:cs="Courier New"/>
                <w:color w:val="000000"/>
              </w:rPr>
              <w:t xml:space="preserve"> are the creatures of the State, and the State not only has the right to control them, but it is in </w:t>
            </w:r>
            <w:r>
              <w:rPr>
                <w:rFonts w:eastAsia="Times New Roman" w:cs="Courier New"/>
                <w:color w:val="000000"/>
                <w:shd w:val="clear" w:color="auto" w:fill="FFFF00"/>
              </w:rPr>
              <w:t xml:space="preserve">duty bound to control them </w:t>
            </w:r>
            <w:r>
              <w:rPr>
                <w:rFonts w:eastAsia="Times New Roman" w:cs="Courier New"/>
                <w:color w:val="000000"/>
              </w:rPr>
              <w:t xml:space="preserve">wherever the need </w:t>
            </w:r>
            <w:r>
              <w:rPr>
                <w:rFonts w:eastAsia="Times New Roman" w:cs="Courier New"/>
                <w:color w:val="000000"/>
              </w:rPr>
              <w:t>of such control is shown.”</w:t>
            </w:r>
          </w:p>
          <w:p w:rsidR="00000000" w:rsidRDefault="007B42E4">
            <w:pPr>
              <w:spacing w:after="0" w:line="240" w:lineRule="auto"/>
              <w:jc w:val="right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Theodore Roosevelt</w:t>
            </w:r>
          </w:p>
          <w:p w:rsidR="00000000" w:rsidRDefault="007B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August 23, 1902</w:t>
            </w:r>
          </w:p>
          <w:p w:rsidR="00000000" w:rsidRDefault="007B4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</w:rPr>
              <w:t xml:space="preserve">Link Address: </w:t>
            </w:r>
            <w:hyperlink r:id="rId9" w:history="1">
              <w:r>
                <w:rPr>
                  <w:rStyle w:val="Hyperlink"/>
                  <w:rFonts w:eastAsia="Times New Roman" w:cs="Courier New"/>
                </w:rPr>
                <w:t>http://www.theodore-roosevelt.com/images/research/txtspeeches/16.txt</w:t>
              </w:r>
            </w:hyperlink>
            <w:r>
              <w:rPr>
                <w:rFonts w:eastAsia="Times New Roman" w:cs="Courier New"/>
                <w:color w:val="000000"/>
              </w:rPr>
              <w:t xml:space="preserve"> </w:t>
            </w:r>
          </w:p>
        </w:tc>
      </w:tr>
    </w:tbl>
    <w:p w:rsidR="002C4CC0" w:rsidRDefault="002C4CC0">
      <w:pPr>
        <w:pStyle w:val="Heading3"/>
      </w:pPr>
      <w:bookmarkStart w:id="3" w:name="_Toc51618887"/>
    </w:p>
    <w:p w:rsidR="00000000" w:rsidRDefault="007B42E4">
      <w:pPr>
        <w:pStyle w:val="Heading3"/>
      </w:pPr>
      <w:r>
        <w:t>Governmental Reform at A</w:t>
      </w:r>
      <w:r>
        <w:t>ll Levels</w:t>
      </w:r>
      <w:bookmarkEnd w:id="3"/>
      <w:r>
        <w:t xml:space="preserve"> </w:t>
      </w:r>
    </w:p>
    <w:p w:rsidR="00000000" w:rsidRDefault="007B42E4">
      <w:pPr>
        <w:numPr>
          <w:ilvl w:val="1"/>
          <w:numId w:val="4"/>
        </w:numPr>
        <w:spacing w:after="0" w:line="240" w:lineRule="auto"/>
        <w:ind w:left="1080"/>
        <w:contextualSpacing/>
        <w:rPr>
          <w:rFonts w:cs="Arial"/>
        </w:rPr>
      </w:pPr>
      <w:r>
        <w:rPr>
          <w:rFonts w:cs="Arial"/>
        </w:rPr>
        <w:t>City– commission (group of experts), city manager</w:t>
      </w:r>
    </w:p>
    <w:p w:rsidR="00000000" w:rsidRDefault="007B42E4">
      <w:pPr>
        <w:numPr>
          <w:ilvl w:val="1"/>
          <w:numId w:val="4"/>
        </w:numPr>
        <w:spacing w:after="0" w:line="240" w:lineRule="auto"/>
        <w:ind w:left="1080"/>
        <w:contextualSpacing/>
        <w:rPr>
          <w:rFonts w:cs="Arial"/>
        </w:rPr>
      </w:pPr>
      <w:r>
        <w:rPr>
          <w:rFonts w:cs="Arial"/>
        </w:rPr>
        <w:t>State–initiative, referendum</w:t>
      </w:r>
    </w:p>
    <w:p w:rsidR="00000000" w:rsidRDefault="007B42E4">
      <w:pPr>
        <w:numPr>
          <w:ilvl w:val="1"/>
          <w:numId w:val="4"/>
        </w:numPr>
        <w:spacing w:after="0" w:line="240" w:lineRule="auto"/>
        <w:ind w:left="1080"/>
        <w:contextualSpacing/>
        <w:rPr>
          <w:rFonts w:cs="Arial"/>
        </w:rPr>
      </w:pPr>
      <w:r>
        <w:rPr>
          <w:rFonts w:cs="Arial"/>
        </w:rPr>
        <w:t xml:space="preserve">Federal–increasing use of </w:t>
      </w:r>
      <w:r>
        <w:rPr>
          <w:rFonts w:cs="Arial"/>
          <w:shd w:val="clear" w:color="auto" w:fill="FFFF00"/>
        </w:rPr>
        <w:t>commissions</w:t>
      </w:r>
      <w:r>
        <w:rPr>
          <w:rFonts w:cs="Arial"/>
        </w:rPr>
        <w:t xml:space="preserve"> (names vary)</w:t>
      </w:r>
    </w:p>
    <w:p w:rsidR="00000000" w:rsidRDefault="007B42E4">
      <w:pPr>
        <w:numPr>
          <w:ilvl w:val="1"/>
          <w:numId w:val="4"/>
        </w:numPr>
        <w:spacing w:after="0" w:line="240" w:lineRule="auto"/>
        <w:ind w:left="1080"/>
        <w:contextualSpacing/>
        <w:rPr>
          <w:rFonts w:cs="Arial"/>
        </w:rPr>
      </w:pPr>
      <w:r>
        <w:rPr>
          <w:rFonts w:cs="Arial"/>
        </w:rPr>
        <w:t>Constitution–Populist-proposed, Progressive-passed, 1913 16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(income tax) &amp; 17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(direct election, Senators)</w:t>
      </w:r>
    </w:p>
    <w:p w:rsidR="00000000" w:rsidRDefault="007B42E4">
      <w:pPr>
        <w:pStyle w:val="Heading3"/>
      </w:pPr>
      <w:bookmarkStart w:id="4" w:name="_Toc51618888"/>
      <w:r>
        <w:t>Reform by the Free Press (and Its Middle Class Readers)</w:t>
      </w:r>
      <w:bookmarkEnd w:id="4"/>
    </w:p>
    <w:p w:rsidR="00000000" w:rsidRDefault="007B42E4">
      <w:pPr>
        <w:numPr>
          <w:ilvl w:val="1"/>
          <w:numId w:val="4"/>
        </w:numPr>
        <w:spacing w:after="0" w:line="240" w:lineRule="auto"/>
        <w:ind w:left="1080"/>
        <w:contextualSpacing/>
      </w:pPr>
      <w:r>
        <w:rPr>
          <w:rFonts w:cs="Arial"/>
          <w:i/>
          <w:shd w:val="clear" w:color="auto" w:fill="FFFF00"/>
        </w:rPr>
        <w:t xml:space="preserve">McClure’s </w:t>
      </w:r>
      <w:r>
        <w:rPr>
          <w:rFonts w:cs="Arial"/>
          <w:shd w:val="clear" w:color="auto" w:fill="FFFF00"/>
        </w:rPr>
        <w:t>Magazine</w:t>
      </w:r>
    </w:p>
    <w:p w:rsidR="00000000" w:rsidRDefault="007B42E4">
      <w:pPr>
        <w:numPr>
          <w:ilvl w:val="1"/>
          <w:numId w:val="4"/>
        </w:numPr>
        <w:spacing w:after="0" w:line="240" w:lineRule="auto"/>
        <w:ind w:left="1080"/>
        <w:contextualSpacing/>
      </w:pPr>
      <w:r>
        <w:rPr>
          <w:rFonts w:cs="Arial"/>
          <w:shd w:val="clear" w:color="auto" w:fill="FFFF00"/>
        </w:rPr>
        <w:t>Muckrakers</w:t>
      </w:r>
      <w:r>
        <w:rPr>
          <w:rFonts w:cs="Arial"/>
        </w:rPr>
        <w:t xml:space="preserve"> such as: </w:t>
      </w:r>
    </w:p>
    <w:p w:rsidR="00000000" w:rsidRDefault="007B42E4">
      <w:pPr>
        <w:numPr>
          <w:ilvl w:val="1"/>
          <w:numId w:val="4"/>
        </w:numPr>
        <w:spacing w:after="0" w:line="240" w:lineRule="auto"/>
        <w:contextualSpacing/>
      </w:pPr>
      <w:r>
        <w:rPr>
          <w:rFonts w:cs="Arial"/>
          <w:shd w:val="clear" w:color="auto" w:fill="FFFF00"/>
        </w:rPr>
        <w:t>Ida Tarbell</w:t>
      </w:r>
      <w:r>
        <w:rPr>
          <w:rFonts w:cs="Arial"/>
        </w:rPr>
        <w:t xml:space="preserve"> (</w:t>
      </w:r>
      <w:r>
        <w:rPr>
          <w:rFonts w:cs="Arial"/>
          <w:shd w:val="clear" w:color="auto" w:fill="FFFF00"/>
        </w:rPr>
        <w:t>Standard Oil)</w:t>
      </w:r>
      <w:r>
        <w:rPr>
          <w:rFonts w:cs="Arial"/>
        </w:rPr>
        <w:t xml:space="preserve"> – gender?</w:t>
      </w:r>
    </w:p>
    <w:p w:rsidR="00000000" w:rsidRDefault="007B42E4">
      <w:pPr>
        <w:numPr>
          <w:ilvl w:val="1"/>
          <w:numId w:val="4"/>
        </w:numPr>
        <w:spacing w:after="0" w:line="240" w:lineRule="auto"/>
        <w:contextualSpacing/>
      </w:pPr>
      <w:r>
        <w:rPr>
          <w:rFonts w:cs="Arial"/>
          <w:shd w:val="clear" w:color="auto" w:fill="FFFF00"/>
        </w:rPr>
        <w:t>Upton Sinclair (meatpacking</w:t>
      </w:r>
      <w:r>
        <w:rPr>
          <w:rFonts w:cs="Arial"/>
        </w:rPr>
        <w:t>)</w:t>
      </w:r>
    </w:p>
    <w:p w:rsidR="00000000" w:rsidRDefault="007B42E4">
      <w:pPr>
        <w:numPr>
          <w:ilvl w:val="1"/>
          <w:numId w:val="4"/>
        </w:numPr>
        <w:spacing w:after="0" w:line="240" w:lineRule="auto"/>
        <w:contextualSpacing/>
      </w:pPr>
      <w:r>
        <w:rPr>
          <w:rFonts w:cs="Arial"/>
          <w:shd w:val="clear" w:color="auto" w:fill="FFFF00"/>
        </w:rPr>
        <w:t>Lincoln Stephens (city government</w:t>
      </w:r>
      <w:r>
        <w:rPr>
          <w:rFonts w:cs="Arial"/>
        </w:rPr>
        <w:t>)</w:t>
      </w:r>
    </w:p>
    <w:p w:rsidR="00000000" w:rsidRDefault="007B42E4">
      <w:pPr>
        <w:pStyle w:val="Heading2"/>
        <w:rPr>
          <w:sz w:val="32"/>
          <w:szCs w:val="32"/>
        </w:rPr>
      </w:pPr>
      <w:bookmarkStart w:id="5" w:name="_Toc51618889"/>
      <w:r>
        <w:t>Foreign Policy of the 3 Presidents in the Progressive Era</w:t>
      </w:r>
      <w:bookmarkEnd w:id="5"/>
      <w:r>
        <w:t xml:space="preserve"> </w:t>
      </w:r>
    </w:p>
    <w:p w:rsidR="00000000" w:rsidRDefault="007B42E4">
      <w:pPr>
        <w:pStyle w:val="Heading3"/>
        <w:rPr>
          <w:rStyle w:val="Heading2Char"/>
          <w:color w:val="243F60" w:themeColor="accent1" w:themeShade="7F"/>
          <w:sz w:val="24"/>
          <w:szCs w:val="24"/>
        </w:rPr>
      </w:pPr>
      <w:bookmarkStart w:id="6" w:name="_Toc51618890"/>
      <w:r>
        <w:rPr>
          <w:rStyle w:val="Heading2Char"/>
          <w:color w:val="243F60" w:themeColor="accent1" w:themeShade="7F"/>
          <w:sz w:val="24"/>
          <w:szCs w:val="24"/>
        </w:rPr>
        <w:t>Foreign policy -Theodore Roosevelt</w:t>
      </w:r>
      <w:bookmarkEnd w:id="6"/>
      <w:r>
        <w:rPr>
          <w:rStyle w:val="Heading2Char"/>
          <w:color w:val="243F60" w:themeColor="accent1" w:themeShade="7F"/>
          <w:sz w:val="24"/>
          <w:szCs w:val="24"/>
        </w:rPr>
        <w:t xml:space="preserve"> </w:t>
      </w:r>
    </w:p>
    <w:tbl>
      <w:tblPr>
        <w:tblW w:w="10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751"/>
        <w:gridCol w:w="3474"/>
        <w:gridCol w:w="6390"/>
      </w:tblGrid>
      <w:tr w:rsidR="00000000">
        <w:trPr>
          <w:tblHeader/>
        </w:trPr>
        <w:tc>
          <w:tcPr>
            <w:tcW w:w="751" w:type="dxa"/>
            <w:tcBorders>
              <w:top w:val="single" w:sz="4" w:space="0" w:color="DDDDDD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spacing w:after="0" w:line="240" w:lineRule="auto"/>
              <w:rPr>
                <w:bCs/>
                <w:sz w:val="18"/>
              </w:rPr>
            </w:pPr>
            <w:r>
              <w:rPr>
                <w:b/>
              </w:rPr>
              <w:t>Date</w:t>
            </w:r>
          </w:p>
        </w:tc>
        <w:tc>
          <w:tcPr>
            <w:tcW w:w="3474" w:type="dxa"/>
            <w:tcBorders>
              <w:top w:val="single" w:sz="4" w:space="0" w:color="DDDDDD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Presidential Election/Event</w:t>
            </w:r>
          </w:p>
        </w:tc>
        <w:tc>
          <w:tcPr>
            <w:tcW w:w="6390" w:type="dxa"/>
            <w:tcBorders>
              <w:top w:val="single" w:sz="4" w:space="0" w:color="DDDDDD"/>
              <w:left w:val="single" w:sz="4" w:space="0" w:color="B2B2B2"/>
              <w:bottom w:val="single" w:sz="4" w:space="0" w:color="800000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Beyond America/ Foreign Policy</w:t>
            </w:r>
          </w:p>
        </w:tc>
      </w:tr>
      <w:tr w:rsidR="00000000">
        <w:tc>
          <w:tcPr>
            <w:tcW w:w="751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1900-11</w:t>
            </w:r>
          </w:p>
        </w:tc>
        <w:tc>
          <w:tcPr>
            <w:tcW w:w="3474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William McKinley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vs. William Jennings Bryan</w:t>
            </w:r>
          </w:p>
        </w:tc>
        <w:tc>
          <w:tcPr>
            <w:tcW w:w="639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000000" w:rsidRDefault="007B42E4">
            <w:pPr>
              <w:pStyle w:val="Heading6"/>
              <w:spacing w:before="0"/>
              <w:rPr>
                <w:rFonts w:asciiTheme="minorHAnsi" w:eastAsia="Times New Roman" w:hAnsiTheme="minorHAnsi"/>
                <w:bCs/>
              </w:rPr>
            </w:pP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Canal: Britain gives up right to participate in canal 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1901-09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McKinley, assassinated by anarchist; T.R. President</w:t>
            </w: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asciiTheme="minorHAnsi" w:eastAsia="Times New Roman" w:hAnsiTheme="minorHAnsi"/>
                <w:bCs/>
              </w:rPr>
            </w:pP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1901-11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Canal: Congress, favors Nicaraguan route, later Panama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1902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US Navy into Venezuela – German &amp; British </w:t>
            </w:r>
            <w: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debt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collection in region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1903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Canadian-US boundary – arbitration + “big stick”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1903-1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i/>
                <w:iCs/>
              </w:rPr>
              <w:t xml:space="preserve">Canal: </w:t>
            </w:r>
            <w:r>
              <w:rPr>
                <w:rFonts w:eastAsia="Times New Roman"/>
                <w:bCs/>
                <w:highlight w:val="yellow"/>
              </w:rPr>
              <w:t>Panama</w:t>
            </w:r>
            <w:r>
              <w:rPr>
                <w:rFonts w:eastAsia="Times New Roman"/>
                <w:bCs/>
              </w:rPr>
              <w:t xml:space="preserve"> zone from, but not ratified </w:t>
            </w:r>
            <w:r>
              <w:rPr>
                <w:bCs/>
              </w:rPr>
              <w:t>by</w:t>
            </w:r>
            <w:r>
              <w:rPr>
                <w:rFonts w:eastAsia="Times New Roman"/>
                <w:bCs/>
              </w:rPr>
              <w:t xml:space="preserve"> Columbian Senate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1903-11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Canal: </w:t>
            </w:r>
            <w:smartTag w:uri="urn:schemas-microsoft-com:office:smarttags" w:element="country-region">
              <w:r>
                <w:rPr>
                  <w:rFonts w:eastAsia="Times New Roman"/>
                  <w:bCs/>
                </w:rPr>
                <w:t>Panama</w:t>
              </w:r>
            </w:smartTag>
            <w:r>
              <w:rPr>
                <w:rFonts w:eastAsia="Times New Roman"/>
                <w:bCs/>
              </w:rPr>
              <w:t xml:space="preserve"> revolt; </w:t>
            </w:r>
            <w:smartTag w:uri="urn:schemas-microsoft-com:office:smarttags" w:element="country-region">
              <w:r>
                <w:rPr>
                  <w:rFonts w:eastAsia="Times New Roman"/>
                  <w:bCs/>
                </w:rPr>
                <w:t>Panama</w:t>
              </w:r>
            </w:smartTag>
            <w:r>
              <w:rPr>
                <w:rFonts w:eastAsia="Times New Roman"/>
                <w:bCs/>
              </w:rPr>
              <w:t xml:space="preserve"> zone </w:t>
            </w:r>
            <w:r>
              <w:rPr>
                <w:rStyle w:val="Strong"/>
              </w:rPr>
              <w:t>from</w:t>
            </w:r>
            <w:r>
              <w:rPr>
                <w:rFonts w:eastAsia="Times New Roman"/>
                <w:bCs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Times New Roman"/>
                    <w:bCs/>
                  </w:rPr>
                  <w:t>Panama</w:t>
                </w:r>
              </w:smartTag>
            </w:smartTag>
            <w:r>
              <w:rPr>
                <w:rFonts w:eastAsia="Times New Roman"/>
                <w:bCs/>
              </w:rPr>
              <w:t xml:space="preserve"> (Hay-Bunau-Varilla Treaty)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1904-11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  <w:hideMark/>
          </w:tcPr>
          <w:p w:rsidR="00000000" w:rsidRDefault="007B42E4">
            <w:pPr>
              <w:spacing w:after="0"/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 xml:space="preserve">Theodore Roosevelt vs.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bCs/>
                  </w:rPr>
                  <w:t>Alton</w:t>
                </w:r>
              </w:smartTag>
            </w:smartTag>
            <w:r>
              <w:rPr>
                <w:rFonts w:eastAsia="Times New Roman"/>
                <w:bCs/>
              </w:rPr>
              <w:t xml:space="preserve"> B. Parker vs. E. V. Debs (Socialist)</w:t>
            </w: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000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eastAsia="Times New Roman"/>
                <w:bCs/>
                <w:i/>
                <w:iCs/>
              </w:rPr>
            </w:pP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1904-12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spacing w:after="0"/>
              <w:rPr>
                <w:rFonts w:eastAsia="Times New Roman"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Times New Roman"/>
                    <w:bCs/>
                  </w:rPr>
                  <w:t>Dominican Republic</w:t>
                </w:r>
              </w:smartTag>
            </w:smartTag>
            <w:r>
              <w:rPr>
                <w:rFonts w:eastAsia="Times New Roman"/>
                <w:bCs/>
              </w:rPr>
              <w:t xml:space="preserve"> – </w:t>
            </w:r>
            <w:r>
              <w:rPr>
                <w:rFonts w:eastAsia="Times New Roman"/>
                <w:bCs/>
                <w:highlight w:val="yellow"/>
              </w:rPr>
              <w:t>debt</w:t>
            </w:r>
            <w:r>
              <w:rPr>
                <w:rFonts w:eastAsia="Times New Roman"/>
                <w:bCs/>
              </w:rPr>
              <w:t xml:space="preserve"> collection </w:t>
            </w:r>
            <w:r>
              <w:rPr>
                <w:rFonts w:eastAsia="Times New Roman"/>
                <w:bCs/>
                <w:shd w:val="clear" w:color="auto" w:fill="FFFF00"/>
              </w:rPr>
              <w:t>Roosevelt Corollary to Monroe Doctrine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1905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Far East: T.R. in ending Russo-Japanese War (</w:t>
            </w:r>
            <w:smartTag w:uri="urn:schemas-microsoft-com:office:smarttags" w:element="City">
              <w:r>
                <w:rPr>
                  <w:rFonts w:eastAsia="Times New Roman"/>
                  <w:bCs/>
                </w:rPr>
                <w:t>Portsmouth</w:t>
              </w:r>
            </w:smartTag>
            <w:r>
              <w:rPr>
                <w:rFonts w:eastAsia="Times New Roman"/>
                <w:bCs/>
              </w:rPr>
              <w:t xml:space="preserve"> treaty); </w:t>
            </w:r>
            <w:smartTag w:uri="urn:schemas-microsoft-com:office:smarttags" w:element="country-region">
              <w:r>
                <w:rPr>
                  <w:rFonts w:eastAsia="Times New Roman"/>
                  <w:bCs/>
                  <w:highlight w:val="yellow"/>
                </w:rPr>
                <w:t>Korea</w:t>
              </w:r>
            </w:smartTag>
            <w:r>
              <w:rPr>
                <w:rFonts w:eastAsia="Times New Roman"/>
                <w:bCs/>
                <w:highlight w:val="yellow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Times New Roman"/>
                    <w:bCs/>
                    <w:highlight w:val="yellow"/>
                  </w:rPr>
                  <w:t>Philippines</w:t>
                </w:r>
              </w:smartTag>
            </w:smartTag>
            <w:r>
              <w:rPr>
                <w:rFonts w:eastAsia="Times New Roman"/>
                <w:bCs/>
                <w:highlight w:val="yellow"/>
              </w:rPr>
              <w:t xml:space="preserve"> arrangement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1907-02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“Gentleman’s Agreement” </w:t>
            </w:r>
          </w:p>
        </w:tc>
      </w:tr>
      <w:tr w:rsidR="00000000"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1908-11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spacing w:before="0"/>
              <w:rPr>
                <w:rFonts w:eastAsia="Times New Roman"/>
                <w:b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spacing w:after="0"/>
              <w:rPr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</w:rPr>
                  <w:t>China</w:t>
                </w:r>
              </w:smartTag>
            </w:smartTag>
            <w:r>
              <w:rPr>
                <w:bCs/>
              </w:rPr>
              <w:t xml:space="preserve"> Open Door, Root-</w:t>
            </w:r>
            <w:proofErr w:type="spellStart"/>
            <w:r>
              <w:rPr>
                <w:bCs/>
              </w:rPr>
              <w:t>Takahira</w:t>
            </w:r>
            <w:proofErr w:type="spellEnd"/>
            <w:r>
              <w:rPr>
                <w:bCs/>
              </w:rPr>
              <w:t xml:space="preserve"> Agreement</w:t>
            </w:r>
          </w:p>
        </w:tc>
      </w:tr>
    </w:tbl>
    <w:p w:rsidR="00000000" w:rsidRDefault="007B42E4">
      <w:pPr>
        <w:pStyle w:val="Heading3"/>
        <w:rPr>
          <w:sz w:val="26"/>
          <w:szCs w:val="26"/>
        </w:rPr>
      </w:pPr>
      <w:bookmarkStart w:id="7" w:name="_Toc51618891"/>
      <w:r>
        <w:t xml:space="preserve">Foreign Policy - </w:t>
      </w:r>
      <w:r>
        <w:rPr>
          <w:rStyle w:val="Heading2Char"/>
          <w:color w:val="243F60" w:themeColor="accent1" w:themeShade="7F"/>
          <w:sz w:val="24"/>
          <w:szCs w:val="24"/>
        </w:rPr>
        <w:t>William</w:t>
      </w:r>
      <w:r>
        <w:t xml:space="preserve"> Howard Taft</w:t>
      </w:r>
      <w:bookmarkEnd w:id="7"/>
    </w:p>
    <w:tbl>
      <w:tblPr>
        <w:tblW w:w="10687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860"/>
        <w:gridCol w:w="3437"/>
        <w:gridCol w:w="6390"/>
      </w:tblGrid>
      <w:tr w:rsidR="00000000">
        <w:trPr>
          <w:tblHeader/>
        </w:trPr>
        <w:tc>
          <w:tcPr>
            <w:tcW w:w="86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343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Election/Event</w:t>
            </w:r>
          </w:p>
        </w:tc>
        <w:tc>
          <w:tcPr>
            <w:tcW w:w="639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</w:rPr>
              <w:t>Beyond America/ Foreign Policy</w:t>
            </w:r>
          </w:p>
        </w:tc>
      </w:tr>
      <w:tr w:rsidR="00000000">
        <w:tc>
          <w:tcPr>
            <w:tcW w:w="86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800000"/>
                <w:sz w:val="24"/>
                <w:szCs w:val="24"/>
              </w:rPr>
              <w:t>1908</w:t>
            </w: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  <w:t>11</w:t>
            </w:r>
          </w:p>
        </w:tc>
        <w:tc>
          <w:tcPr>
            <w:tcW w:w="3437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William Howard Taft </w:t>
            </w:r>
            <w:r>
              <w:rPr>
                <w:rFonts w:eastAsia="Times New Roman" w:cs="Times New Roman"/>
                <w:bCs/>
              </w:rPr>
              <w:t>vs</w:t>
            </w:r>
            <w:r>
              <w:rPr>
                <w:rFonts w:eastAsia="Times New Roman" w:cs="Times New Roman"/>
                <w:b/>
              </w:rPr>
              <w:t>.</w:t>
            </w:r>
            <w:r>
              <w:rPr>
                <w:rFonts w:eastAsia="Times New Roman" w:cs="Times New Roman"/>
                <w:bCs/>
              </w:rPr>
              <w:t xml:space="preserve"> William Jennings Bryan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“</w:t>
            </w:r>
            <w:r>
              <w:rPr>
                <w:rFonts w:eastAsia="Times New Roman" w:cs="Times New Roman"/>
                <w:bCs/>
                <w:highlight w:val="yellow"/>
              </w:rPr>
              <w:t>Dollar Diplomacy”</w:t>
            </w:r>
            <w:r>
              <w:rPr>
                <w:rFonts w:eastAsia="Times New Roman" w:cs="Times New Roman"/>
                <w:bCs/>
              </w:rPr>
              <w:t xml:space="preserve">- Secretary of State Philander Knox – the “borrower is the servant of the </w:t>
            </w:r>
            <w:r>
              <w:rPr>
                <w:rFonts w:eastAsia="Times New Roman" w:cs="Times New Roman"/>
                <w:bCs/>
              </w:rPr>
              <w:t>lender”</w:t>
            </w:r>
          </w:p>
        </w:tc>
      </w:tr>
      <w:tr w:rsidR="00000000"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1909</w:t>
            </w:r>
          </w:p>
        </w:tc>
        <w:tc>
          <w:tcPr>
            <w:tcW w:w="3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US investors into Honduras to block British</w:t>
            </w:r>
          </w:p>
        </w:tc>
      </w:tr>
      <w:tr w:rsidR="00000000"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1910</w:t>
            </w:r>
          </w:p>
        </w:tc>
        <w:tc>
          <w:tcPr>
            <w:tcW w:w="3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iCs/>
              </w:rPr>
              <w:t>Far East:</w:t>
            </w:r>
            <w:r>
              <w:rPr>
                <w:rFonts w:eastAsia="Times New Roman" w:cs="Times New Roman"/>
                <w:bCs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 xml:space="preserve">Attempted US investments in Manchuria </w:t>
            </w:r>
          </w:p>
        </w:tc>
      </w:tr>
      <w:tr w:rsidR="00000000"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1911-06</w:t>
            </w:r>
          </w:p>
        </w:tc>
        <w:tc>
          <w:tcPr>
            <w:tcW w:w="3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iCs/>
              </w:rPr>
              <w:t>Canal:</w:t>
            </w:r>
            <w:r>
              <w:rPr>
                <w:rFonts w:eastAsia="Times New Roman" w:cs="Times New Roman"/>
                <w:bCs/>
              </w:rPr>
              <w:t xml:space="preserve"> Require Nicaragua to give US control of customs, </w:t>
            </w:r>
          </w:p>
        </w:tc>
      </w:tr>
      <w:tr w:rsidR="00000000">
        <w:tc>
          <w:tcPr>
            <w:tcW w:w="860" w:type="dxa"/>
            <w:tcBorders>
              <w:top w:val="single" w:sz="4" w:space="0" w:color="80808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24"/>
              </w:rPr>
              <w:t>1912-08</w:t>
            </w:r>
          </w:p>
        </w:tc>
        <w:tc>
          <w:tcPr>
            <w:tcW w:w="3437" w:type="dxa"/>
            <w:tcBorders>
              <w:top w:val="single" w:sz="4" w:space="0" w:color="80808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6390" w:type="dxa"/>
            <w:tcBorders>
              <w:top w:val="single" w:sz="4" w:space="0" w:color="80808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iCs/>
              </w:rPr>
              <w:t>Canal:</w:t>
            </w:r>
            <w:r>
              <w:rPr>
                <w:rFonts w:eastAsia="Times New Roman" w:cs="Times New Roman"/>
                <w:bCs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Nicaragua revolt; US troops (through 1933)</w:t>
            </w:r>
          </w:p>
        </w:tc>
      </w:tr>
    </w:tbl>
    <w:p w:rsidR="002C4CC0" w:rsidRDefault="002C4CC0">
      <w:pPr>
        <w:pStyle w:val="Heading3"/>
      </w:pPr>
      <w:bookmarkStart w:id="8" w:name="_Toc51618892"/>
    </w:p>
    <w:p w:rsidR="00000000" w:rsidRDefault="007B42E4">
      <w:pPr>
        <w:pStyle w:val="Heading3"/>
      </w:pPr>
      <w:bookmarkStart w:id="9" w:name="_GoBack"/>
      <w:bookmarkEnd w:id="9"/>
      <w:r>
        <w:t xml:space="preserve">Foreign Policy - Woodrow Wilson </w:t>
      </w:r>
      <w:bookmarkEnd w:id="8"/>
    </w:p>
    <w:tbl>
      <w:tblPr>
        <w:tblW w:w="10777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810"/>
        <w:gridCol w:w="4027"/>
        <w:gridCol w:w="5940"/>
      </w:tblGrid>
      <w:tr w:rsidR="00000000">
        <w:trPr>
          <w:tblHeader/>
        </w:trPr>
        <w:tc>
          <w:tcPr>
            <w:tcW w:w="81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Date</w:t>
            </w:r>
          </w:p>
        </w:tc>
        <w:tc>
          <w:tcPr>
            <w:tcW w:w="4027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4"/>
              </w:rPr>
              <w:t>Presidential Election/Event</w:t>
            </w:r>
          </w:p>
        </w:tc>
        <w:tc>
          <w:tcPr>
            <w:tcW w:w="5940" w:type="dxa"/>
            <w:tcBorders>
              <w:top w:val="single" w:sz="4" w:space="0" w:color="EAEAEA"/>
              <w:left w:val="single" w:sz="4" w:space="0" w:color="B2B2B2"/>
              <w:bottom w:val="single" w:sz="4" w:space="0" w:color="EAEAEA"/>
              <w:right w:val="single" w:sz="4" w:space="0" w:color="B2B2B2"/>
            </w:tcBorders>
            <w:shd w:val="clear" w:color="auto" w:fill="DDDDDD"/>
            <w:hideMark/>
          </w:tcPr>
          <w:p w:rsidR="00000000" w:rsidRDefault="007B42E4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18"/>
                <w:szCs w:val="24"/>
              </w:rPr>
              <w:t>Beyond America/ Foreign Policy</w:t>
            </w:r>
          </w:p>
        </w:tc>
      </w:tr>
      <w:tr w:rsidR="00000000">
        <w:tc>
          <w:tcPr>
            <w:tcW w:w="81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1912-11</w:t>
            </w:r>
          </w:p>
        </w:tc>
        <w:tc>
          <w:tcPr>
            <w:tcW w:w="4027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William Howard Taft vs. Woodrow Wilson vs. T. Roosevelt vs. E. V. Debs (Socialist)</w:t>
            </w:r>
          </w:p>
        </w:tc>
        <w:tc>
          <w:tcPr>
            <w:tcW w:w="5940" w:type="dxa"/>
            <w:tcBorders>
              <w:top w:val="single" w:sz="4" w:space="0" w:color="800000"/>
              <w:left w:val="single" w:sz="4" w:space="0" w:color="B2B2B2"/>
              <w:bottom w:val="single" w:sz="4" w:space="0" w:color="808080"/>
              <w:right w:val="single" w:sz="4" w:space="0" w:color="B2B2B2"/>
            </w:tcBorders>
          </w:tcPr>
          <w:p w:rsidR="00000000" w:rsidRDefault="007B42E4">
            <w:pPr>
              <w:pStyle w:val="Heading6"/>
              <w:spacing w:before="0" w:line="240" w:lineRule="auto"/>
              <w:rPr>
                <w:rFonts w:asciiTheme="minorHAnsi" w:eastAsia="Times New Roman" w:hAnsiTheme="minorHAnsi"/>
                <w:bCs/>
                <w:i/>
                <w:iCs/>
              </w:rPr>
            </w:pPr>
          </w:p>
        </w:tc>
      </w:tr>
      <w:tr w:rsidR="00000000"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  <w:szCs w:val="24"/>
              </w:rPr>
            </w:pPr>
            <w:r>
              <w:rPr>
                <w:bCs/>
                <w:szCs w:val="24"/>
              </w:rPr>
              <w:t>1913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President speaks to Congress (on the tariff) – 1st time sinc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 Jefferson’s precedent</w:t>
            </w: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Mexico: Ongoing coups (since Taft), US Marines - Tampico and Vera Cruz incidents</w:t>
            </w:r>
          </w:p>
        </w:tc>
      </w:tr>
      <w:tr w:rsidR="00000000"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bCs/>
              </w:rPr>
            </w:pPr>
            <w:r>
              <w:rPr>
                <w:bCs/>
              </w:rPr>
              <w:t>1916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000" w:rsidRDefault="007B42E4">
            <w:pPr>
              <w:pStyle w:val="Heading6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00000" w:rsidRDefault="007B42E4">
            <w:pPr>
              <w:pStyle w:val="FootnoteText"/>
              <w:rPr>
                <w:rFonts w:asciiTheme="minorHAnsi" w:eastAsiaTheme="minorEastAsia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Not beyond America, but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 America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Pancho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  <w:t>” Villa</w:t>
            </w:r>
          </w:p>
        </w:tc>
      </w:tr>
    </w:tbl>
    <w:p w:rsidR="00000000" w:rsidRDefault="007B42E4"/>
    <w:p w:rsidR="00000000" w:rsidRDefault="007B42E4">
      <w:pPr>
        <w:pStyle w:val="Heading2"/>
      </w:pPr>
      <w:bookmarkStart w:id="10" w:name="_Toc51618893"/>
      <w:r>
        <w:t>Domestic Policy, Labor, and Trusts – Theodore Roosevelt (1901-1908)</w:t>
      </w:r>
      <w:bookmarkEnd w:id="10"/>
    </w:p>
    <w:p w:rsidR="00000000" w:rsidRDefault="007B42E4">
      <w:r>
        <w:t xml:space="preserve">Background:  </w:t>
      </w:r>
      <w:r>
        <w:t>government positions in New York, Assistant Navy Secretary, Rough Rider, governor of New York,</w:t>
      </w:r>
    </w:p>
    <w:p w:rsidR="00000000" w:rsidRDefault="007B42E4">
      <w:pPr>
        <w:pStyle w:val="ListParagraph"/>
        <w:numPr>
          <w:ilvl w:val="0"/>
          <w:numId w:val="6"/>
        </w:numPr>
      </w:pPr>
      <w:r>
        <w:t xml:space="preserve">1902 </w:t>
      </w:r>
      <w:r>
        <w:rPr>
          <w:shd w:val="clear" w:color="auto" w:fill="FFFF00"/>
        </w:rPr>
        <w:t>Square Deal</w:t>
      </w:r>
      <w:r>
        <w:t xml:space="preserve"> – anthracite coal strike and an innovative use of Presidential power</w:t>
      </w:r>
    </w:p>
    <w:p w:rsidR="00000000" w:rsidRDefault="007B42E4">
      <w:pPr>
        <w:pStyle w:val="ListParagraph"/>
        <w:numPr>
          <w:ilvl w:val="0"/>
          <w:numId w:val="6"/>
        </w:numPr>
      </w:pPr>
      <w:r>
        <w:t xml:space="preserve">1904 </w:t>
      </w:r>
      <w:r>
        <w:rPr>
          <w:shd w:val="clear" w:color="auto" w:fill="FFFF00"/>
        </w:rPr>
        <w:t>Northern Securities</w:t>
      </w:r>
      <w:r>
        <w:t xml:space="preserve"> – how an innovative use of Presidential power and </w:t>
      </w:r>
      <w:r>
        <w:t>the “good”/”bad” trusts approach</w:t>
      </w:r>
    </w:p>
    <w:p w:rsidR="00000000" w:rsidRDefault="007B42E4">
      <w:pPr>
        <w:pStyle w:val="ListParagraph"/>
        <w:numPr>
          <w:ilvl w:val="0"/>
          <w:numId w:val="6"/>
        </w:numPr>
      </w:pPr>
      <w:r>
        <w:t xml:space="preserve">1906 Upton Sinclair and the Pure Food and Drugs Act – and the </w:t>
      </w:r>
      <w:r>
        <w:rPr>
          <w:shd w:val="clear" w:color="auto" w:fill="FFFF00"/>
        </w:rPr>
        <w:t>FDA,</w:t>
      </w:r>
      <w:r>
        <w:t xml:space="preserve"> a commission</w:t>
      </w:r>
    </w:p>
    <w:p w:rsidR="00000000" w:rsidRDefault="007B42E4">
      <w:pPr>
        <w:pStyle w:val="ListParagraph"/>
        <w:numPr>
          <w:ilvl w:val="0"/>
          <w:numId w:val="6"/>
        </w:numPr>
      </w:pPr>
      <w:r>
        <w:t>1911 Triangle Shirtwaist Factory in New York City – Not a test question, but reality.</w:t>
      </w:r>
    </w:p>
    <w:p w:rsidR="00000000" w:rsidRDefault="007B42E4">
      <w:pPr>
        <w:pStyle w:val="Heading2"/>
      </w:pPr>
      <w:bookmarkStart w:id="11" w:name="_Toc51618894"/>
      <w:r>
        <w:t>Domestic Policy – W.H. Taft (1908-1912)</w:t>
      </w:r>
      <w:bookmarkEnd w:id="11"/>
    </w:p>
    <w:p w:rsidR="00000000" w:rsidRDefault="007B42E4">
      <w:r>
        <w:t>Background: Admin</w:t>
      </w:r>
      <w:r>
        <w:t xml:space="preserve">istrator who calmed the Philippines. He is caught between the Republican Party and T.R. </w:t>
      </w:r>
    </w:p>
    <w:p w:rsidR="00000000" w:rsidRDefault="007B42E4">
      <w:pPr>
        <w:pStyle w:val="Heading2"/>
      </w:pPr>
      <w:bookmarkStart w:id="12" w:name="_Toc51618895"/>
      <w:r>
        <w:t>Election of 1912 – a 4-Way Split</w:t>
      </w:r>
      <w:bookmarkEnd w:id="12"/>
    </w:p>
    <w:p w:rsidR="00000000" w:rsidRDefault="007B42E4">
      <w:r>
        <w:t>Democratic Party  – Woodrow Wilson                                              6,286,214       435</w:t>
      </w:r>
    </w:p>
    <w:p w:rsidR="00000000" w:rsidRDefault="007B42E4">
      <w:r>
        <w:t xml:space="preserve">Republican Party – William Howard </w:t>
      </w:r>
      <w:r>
        <w:t>Taft                                          3,483,922            8</w:t>
      </w:r>
    </w:p>
    <w:p w:rsidR="00000000" w:rsidRDefault="007B42E4">
      <w:r>
        <w:t>Progressive (Bull Moose) Party – Theodore Roosevelt                   4,126,020         88</w:t>
      </w:r>
      <w:r>
        <w:br/>
        <w:t xml:space="preserve">Note: Avoided African American issues. </w:t>
      </w:r>
    </w:p>
    <w:p w:rsidR="00000000" w:rsidRDefault="007B42E4">
      <w:r>
        <w:t xml:space="preserve">Socialist Party – E.V. Debs                             </w:t>
      </w:r>
      <w:r>
        <w:t xml:space="preserve">                                       897,011 </w:t>
      </w:r>
    </w:p>
    <w:p w:rsidR="00000000" w:rsidRDefault="007B42E4">
      <w:pPr>
        <w:pStyle w:val="Heading2"/>
      </w:pPr>
      <w:bookmarkStart w:id="13" w:name="_Toc51618896"/>
      <w:r>
        <w:t>Domestic Policy, Labor, Trusts, and Tariffs (and Income Tax) – Woodrow Wilson (1912-1920)</w:t>
      </w:r>
      <w:bookmarkEnd w:id="13"/>
    </w:p>
    <w:p w:rsidR="00000000" w:rsidRDefault="007B42E4">
      <w:r>
        <w:t>Background: Professor, public speaker, President of Princeton, governor of New Jersey</w:t>
      </w:r>
    </w:p>
    <w:p w:rsidR="00000000" w:rsidRDefault="007B42E4">
      <w:pPr>
        <w:pStyle w:val="ListParagraph"/>
        <w:numPr>
          <w:ilvl w:val="0"/>
          <w:numId w:val="6"/>
        </w:numPr>
      </w:pPr>
      <w:r>
        <w:t>1913 Tariff (</w:t>
      </w:r>
      <w:r>
        <w:rPr>
          <w:rFonts w:eastAsia="Times New Roman" w:cs="Times New Roman"/>
          <w:bCs/>
        </w:rPr>
        <w:t>Underwood)</w:t>
      </w:r>
      <w:r>
        <w:t xml:space="preserve">–lowered </w:t>
      </w:r>
      <w:r>
        <w:t>and use of an income tax to substitute for the revenue (declared unconstitutional, thus the amendment to the Constitution)</w:t>
      </w:r>
    </w:p>
    <w:p w:rsidR="00000000" w:rsidRDefault="007B42E4">
      <w:pPr>
        <w:pStyle w:val="ListParagraph"/>
        <w:numPr>
          <w:ilvl w:val="0"/>
          <w:numId w:val="6"/>
        </w:numPr>
      </w:pPr>
      <w:r>
        <w:rPr>
          <w:shd w:val="clear" w:color="auto" w:fill="FFFF00"/>
        </w:rPr>
        <w:t>1913 Federal Reserve Act</w:t>
      </w:r>
      <w:r>
        <w:t xml:space="preserve"> - determine the amount of money in circulation, respond to cyclical business changes, and expand or contract</w:t>
      </w:r>
      <w:r>
        <w:t xml:space="preserve"> the nation's credit.</w:t>
      </w:r>
    </w:p>
    <w:p w:rsidR="00000000" w:rsidRDefault="007B42E4">
      <w:pPr>
        <w:pStyle w:val="ListParagraph"/>
        <w:numPr>
          <w:ilvl w:val="0"/>
          <w:numId w:val="6"/>
        </w:numPr>
      </w:pPr>
      <w:r>
        <w:t>1914 Colorado -Ludlow Massacre– Not a test question, but reality.</w:t>
      </w:r>
    </w:p>
    <w:p w:rsidR="00000000" w:rsidRDefault="007B42E4">
      <w:pPr>
        <w:pStyle w:val="ListParagraph"/>
        <w:numPr>
          <w:ilvl w:val="0"/>
          <w:numId w:val="6"/>
        </w:numPr>
      </w:pPr>
      <w:r>
        <w:t>1914 Clayton Anti-Trust Act – “Magna Carta of Labor”</w:t>
      </w:r>
      <w:r>
        <w:rPr>
          <w:rStyle w:val="FootnoteReference"/>
        </w:rPr>
        <w:footnoteReference w:id="1"/>
      </w:r>
      <w:r>
        <w:t xml:space="preserve"> – Not a test question, but reality</w:t>
      </w:r>
    </w:p>
    <w:p w:rsidR="00000000" w:rsidRDefault="007B42E4">
      <w:pPr>
        <w:pStyle w:val="ListParagraph"/>
        <w:numPr>
          <w:ilvl w:val="0"/>
          <w:numId w:val="6"/>
        </w:numPr>
      </w:pPr>
      <w:r>
        <w:t xml:space="preserve">1914 Federal Trade Commission – </w:t>
      </w:r>
      <w:r>
        <w:rPr>
          <w:rStyle w:val="Strong"/>
        </w:rPr>
        <w:t>pre-approval</w:t>
      </w:r>
      <w:r>
        <w:t xml:space="preserve"> of mergers</w:t>
      </w:r>
    </w:p>
    <w:p w:rsidR="00000000" w:rsidRDefault="007B42E4">
      <w:pPr>
        <w:pStyle w:val="Heading2"/>
      </w:pPr>
      <w:bookmarkStart w:id="14" w:name="_Toc51618897"/>
      <w:r>
        <w:t>Groups</w:t>
      </w:r>
      <w:bookmarkEnd w:id="14"/>
    </w:p>
    <w:p w:rsidR="00000000" w:rsidRDefault="007B42E4">
      <w:pPr>
        <w:pStyle w:val="Heading3"/>
      </w:pPr>
      <w:bookmarkStart w:id="15" w:name="_Toc51618898"/>
      <w:r>
        <w:t>Racism and Theodore Roosevelt</w:t>
      </w:r>
      <w:bookmarkEnd w:id="15"/>
    </w:p>
    <w:p w:rsidR="00000000" w:rsidRDefault="007B42E4">
      <w:pPr>
        <w:pStyle w:val="ListParagraph"/>
        <w:numPr>
          <w:ilvl w:val="0"/>
          <w:numId w:val="6"/>
        </w:numPr>
      </w:pPr>
      <w:r>
        <w:t>1901 TR and Booker T. Washington at the White House (note the change in 1912) – Not a test question, but reality.</w:t>
      </w:r>
    </w:p>
    <w:p w:rsidR="00000000" w:rsidRDefault="007B42E4">
      <w:pPr>
        <w:pStyle w:val="ListParagraph"/>
        <w:numPr>
          <w:ilvl w:val="0"/>
          <w:numId w:val="6"/>
        </w:numPr>
      </w:pPr>
      <w:r>
        <w:t>1906 “yellow peril,” segregation in California, a</w:t>
      </w:r>
      <w:r>
        <w:t>nd the “Gentlemen’s Agreement” with Japan – Not a test question, but reality.</w:t>
      </w:r>
    </w:p>
    <w:p w:rsidR="00000000" w:rsidRDefault="007B42E4">
      <w:pPr>
        <w:pStyle w:val="ListParagraph"/>
        <w:numPr>
          <w:ilvl w:val="0"/>
          <w:numId w:val="6"/>
        </w:numPr>
      </w:pPr>
      <w:r>
        <w:t>1912 Election – He courts the Southern voters.</w:t>
      </w:r>
    </w:p>
    <w:p w:rsidR="00000000" w:rsidRDefault="007B42E4">
      <w:pPr>
        <w:pStyle w:val="Heading3"/>
      </w:pPr>
      <w:bookmarkStart w:id="16" w:name="_Toc51618899"/>
      <w:r>
        <w:t>Racism and Woodrow Wilson</w:t>
      </w:r>
      <w:bookmarkEnd w:id="16"/>
    </w:p>
    <w:p w:rsidR="00000000" w:rsidRDefault="007B42E4">
      <w:pPr>
        <w:pStyle w:val="ListParagraph"/>
        <w:numPr>
          <w:ilvl w:val="0"/>
          <w:numId w:val="6"/>
        </w:numPr>
      </w:pPr>
      <w:r>
        <w:t xml:space="preserve">Favors </w:t>
      </w:r>
      <w:r>
        <w:rPr>
          <w:i/>
        </w:rPr>
        <w:t>Plessy v. Ferguson</w:t>
      </w:r>
    </w:p>
    <w:p w:rsidR="00000000" w:rsidRDefault="007B42E4">
      <w:pPr>
        <w:pStyle w:val="ListParagraph"/>
        <w:numPr>
          <w:ilvl w:val="0"/>
          <w:numId w:val="6"/>
        </w:numPr>
      </w:pPr>
      <w:r>
        <w:t>WW’s segregation in Washington, DC and in federal jobs (a view held by Progress</w:t>
      </w:r>
      <w:r>
        <w:t>ives other than WW)</w:t>
      </w:r>
    </w:p>
    <w:p w:rsidR="00000000" w:rsidRDefault="007B42E4">
      <w:pPr>
        <w:pStyle w:val="Heading3"/>
      </w:pPr>
      <w:bookmarkStart w:id="17" w:name="_Toc51618900"/>
      <w:r>
        <w:t>Groups Changing and Forming</w:t>
      </w:r>
      <w:bookmarkEnd w:id="17"/>
    </w:p>
    <w:p w:rsidR="00000000" w:rsidRDefault="007B42E4">
      <w:pPr>
        <w:pStyle w:val="ListParagraph"/>
        <w:numPr>
          <w:ilvl w:val="0"/>
          <w:numId w:val="6"/>
        </w:numPr>
      </w:pPr>
      <w:r>
        <w:t xml:space="preserve">1909 NAACP and </w:t>
      </w:r>
      <w:r>
        <w:rPr>
          <w:i/>
        </w:rPr>
        <w:t>The Crisis</w:t>
      </w:r>
    </w:p>
    <w:p w:rsidR="00000000" w:rsidRDefault="007B42E4">
      <w:pPr>
        <w:pStyle w:val="ListParagraph"/>
        <w:numPr>
          <w:ilvl w:val="0"/>
          <w:numId w:val="6"/>
        </w:numPr>
      </w:pPr>
      <w:r>
        <w:t>1913 Women – suffragettes and a march on Washington</w:t>
      </w:r>
    </w:p>
    <w:p w:rsidR="007B42E4" w:rsidRDefault="007B42E4">
      <w:pPr>
        <w:pStyle w:val="ListParagraph"/>
        <w:numPr>
          <w:ilvl w:val="0"/>
          <w:numId w:val="6"/>
        </w:numPr>
      </w:pPr>
      <w:r>
        <w:t>1903 Ford Motor plant that uses assembly line – 1914  5$ for an 8-hour day (a more positive way to increase pressure on unions.)</w:t>
      </w:r>
      <w:r>
        <w:br/>
      </w:r>
    </w:p>
    <w:sectPr w:rsidR="007B4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E4" w:rsidRDefault="007B42E4">
      <w:pPr>
        <w:spacing w:after="0" w:line="240" w:lineRule="auto"/>
      </w:pPr>
      <w:r>
        <w:separator/>
      </w:r>
    </w:p>
  </w:endnote>
  <w:endnote w:type="continuationSeparator" w:id="0">
    <w:p w:rsidR="007B42E4" w:rsidRDefault="007B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E4" w:rsidRDefault="007B42E4">
      <w:pPr>
        <w:spacing w:after="0" w:line="240" w:lineRule="auto"/>
      </w:pPr>
      <w:r>
        <w:separator/>
      </w:r>
    </w:p>
  </w:footnote>
  <w:footnote w:type="continuationSeparator" w:id="0">
    <w:p w:rsidR="007B42E4" w:rsidRDefault="007B42E4">
      <w:pPr>
        <w:spacing w:after="0" w:line="240" w:lineRule="auto"/>
      </w:pPr>
      <w:r>
        <w:continuationSeparator/>
      </w:r>
    </w:p>
  </w:footnote>
  <w:footnote w:id="1">
    <w:p w:rsidR="00000000" w:rsidRDefault="007B42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</w:rPr>
        <w:t>In regard to labor and agriculture, the act specified that ‘the labor of a human being is </w:t>
      </w:r>
      <w:r>
        <w:rPr>
          <w:b/>
          <w:bCs/>
        </w:rPr>
        <w:t>not a commodity</w:t>
      </w:r>
      <w:r>
        <w:t xml:space="preserve"> or article of commerce; nothing contained in the antitrust laws shall be construed to forbid the existence and operation of labor, agricultural and </w:t>
      </w:r>
      <w:r>
        <w:t>horticultural organization … nor shall such organizations  be held or construed as illegal combinations….’” Further: </w:t>
      </w:r>
      <w:r>
        <w:rPr>
          <w:b/>
          <w:bCs/>
        </w:rPr>
        <w:t>no “injunctions” against them unless “to prevent injury to property</w:t>
      </w:r>
      <w:r>
        <w:t>,” </w:t>
      </w:r>
      <w:r>
        <w:br/>
        <w:t>“strikes, peaceful picketing, and boycotts </w:t>
      </w:r>
      <w:r>
        <w:rPr>
          <w:b/>
          <w:bCs/>
        </w:rPr>
        <w:t>legal </w:t>
      </w:r>
      <w:r>
        <w:t>under federal juris</w:t>
      </w:r>
      <w:r>
        <w:t>diction.” </w:t>
      </w:r>
      <w:r>
        <w:rPr>
          <w:i/>
          <w:iCs/>
        </w:rPr>
        <w:t>Encyclopedia of American History, </w:t>
      </w:r>
      <w:r>
        <w:t>p. 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736"/>
    <w:multiLevelType w:val="hybridMultilevel"/>
    <w:tmpl w:val="1E3A024C"/>
    <w:lvl w:ilvl="0" w:tplc="50DEE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DAC"/>
    <w:multiLevelType w:val="hybridMultilevel"/>
    <w:tmpl w:val="F82AE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A2255"/>
    <w:multiLevelType w:val="hybridMultilevel"/>
    <w:tmpl w:val="B9EC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0"/>
    <w:rsid w:val="002C4CC0"/>
    <w:rsid w:val="006A414D"/>
    <w:rsid w:val="007B42E4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7D0B6-D3B0-4439-AE28-367A371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eastAsia="Times New Roman" w:hAnsi="Arial" w:cs="Times New Roman" w:hint="default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0">
    <w:name w:val="[Normal]"/>
    <w:basedOn w:val="Normal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302_Unit_2_Study_Guide_DL_OC_What_Does_It_Mean_That_You_Do_Not_Have_to_Know_Everythin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odore-roosevelt.com/images/research/txtspeeches/16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6E97-111B-4600-BF18-A38CBB67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Why the Progressive Era?</vt:lpstr>
      <vt:lpstr>        Response to Gilded Age Industrialization as It Damages Social and Political Life</vt:lpstr>
      <vt:lpstr>        </vt:lpstr>
      <vt:lpstr>        Governmental Reform at All Levels </vt:lpstr>
      <vt:lpstr>        Reform by the Free Press (and Its Middle Class Readers)</vt:lpstr>
      <vt:lpstr>    Foreign Policy of the 3 Presidents in the Progressive Era </vt:lpstr>
      <vt:lpstr>        Foreign policy -Theodore Roosevelt </vt:lpstr>
      <vt:lpstr>        Foreign Policy - William Howard Taft</vt:lpstr>
      <vt:lpstr>        </vt:lpstr>
      <vt:lpstr>        Foreign Policy - Woodrow Wilson </vt:lpstr>
      <vt:lpstr>    Domestic Policy, Labor, and Trusts – Theodore Roosevelt (1901-1908)</vt:lpstr>
      <vt:lpstr>    Domestic Policy – W.H. Taft (1908-1912)</vt:lpstr>
      <vt:lpstr>    Election of 1912 – a 4-Way Split</vt:lpstr>
      <vt:lpstr>    Domestic Policy, Labor, Trusts, and Tariffs (and Income Tax) – Woodrow Wilson (1</vt:lpstr>
      <vt:lpstr>    Groups</vt:lpstr>
      <vt:lpstr>        Racism and Theodore Roosevelt</vt:lpstr>
      <vt:lpstr>        Racism and Woodrow Wilson</vt:lpstr>
      <vt:lpstr>        Groups Changing and Forming</vt:lpstr>
    </vt:vector>
  </TitlesOfParts>
  <Company>Wharton County Junior College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4</cp:revision>
  <cp:lastPrinted>2021-02-20T22:45:00Z</cp:lastPrinted>
  <dcterms:created xsi:type="dcterms:W3CDTF">2021-02-20T22:45:00Z</dcterms:created>
  <dcterms:modified xsi:type="dcterms:W3CDTF">2021-02-20T22:46:00Z</dcterms:modified>
</cp:coreProperties>
</file>